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D328D" w14:textId="423C795D" w:rsidR="00CC4257" w:rsidRPr="001707AB" w:rsidRDefault="00CC4257" w:rsidP="00CC4257">
      <w:pPr>
        <w:pStyle w:val="CH"/>
        <w:rPr>
          <w:lang w:val="de-DE"/>
        </w:rPr>
      </w:pPr>
      <w:bookmarkStart w:id="0" w:name="historyclause"/>
      <w:r w:rsidRPr="001707AB">
        <w:rPr>
          <w:lang w:val="de-DE"/>
        </w:rPr>
        <w:t>3GPP RAN-WG4 Meeting #9</w:t>
      </w:r>
      <w:r w:rsidR="00F23550">
        <w:rPr>
          <w:lang w:val="de-DE"/>
        </w:rPr>
        <w:t>8</w:t>
      </w:r>
      <w:r w:rsidRPr="001707AB">
        <w:rPr>
          <w:lang w:val="de-DE"/>
        </w:rPr>
        <w:t>-e</w:t>
      </w:r>
      <w:r w:rsidRPr="001707AB">
        <w:rPr>
          <w:lang w:val="de-DE"/>
        </w:rPr>
        <w:tab/>
      </w:r>
      <w:r w:rsidRPr="001707AB">
        <w:rPr>
          <w:lang w:val="de-DE"/>
        </w:rPr>
        <w:tab/>
      </w:r>
      <w:r w:rsidR="00F23550" w:rsidRPr="00F23550">
        <w:rPr>
          <w:lang w:val="de-DE"/>
        </w:rPr>
        <w:t>R4-2100527</w:t>
      </w:r>
    </w:p>
    <w:p w14:paraId="2DDDE228" w14:textId="23A10BB7" w:rsidR="00CC4257" w:rsidRPr="00FD166F" w:rsidRDefault="00F23550" w:rsidP="00833B72">
      <w:pPr>
        <w:pStyle w:val="CH"/>
        <w:tabs>
          <w:tab w:val="clear" w:pos="7920"/>
        </w:tabs>
        <w:rPr>
          <w:b w:val="0"/>
        </w:rPr>
      </w:pPr>
      <w:r w:rsidRPr="005B0B43">
        <w:t xml:space="preserve">Electronic meeting, </w:t>
      </w:r>
      <w:r>
        <w:t>February 25 – March 5,</w:t>
      </w:r>
      <w:r w:rsidRPr="005B0B43">
        <w:t xml:space="preserve"> 202</w:t>
      </w:r>
      <w:r>
        <w:t>1</w:t>
      </w:r>
      <w:r w:rsidR="00CC4257" w:rsidRPr="009F0E8D">
        <w:tab/>
      </w:r>
    </w:p>
    <w:p w14:paraId="39A0EE25" w14:textId="77777777" w:rsidR="00D309CC" w:rsidRPr="00B67FC6" w:rsidRDefault="00D309CC" w:rsidP="00D309CC">
      <w:pPr>
        <w:tabs>
          <w:tab w:val="left" w:pos="2160"/>
        </w:tabs>
        <w:rPr>
          <w:rFonts w:ascii="Arial" w:hAnsi="Arial" w:cs="Arial"/>
          <w:b/>
          <w:lang w:val="en-US"/>
        </w:rPr>
      </w:pPr>
    </w:p>
    <w:p w14:paraId="6DDCE159" w14:textId="3E12128C" w:rsidR="00D309CC" w:rsidRPr="00B67FC6" w:rsidRDefault="00D309CC" w:rsidP="00D309CC">
      <w:pPr>
        <w:pStyle w:val="CH"/>
        <w:rPr>
          <w:b w:val="0"/>
          <w:lang w:val="en-US"/>
        </w:rPr>
      </w:pPr>
      <w:r w:rsidRPr="00B67FC6">
        <w:rPr>
          <w:lang w:val="en-US"/>
        </w:rPr>
        <w:t>Agenda item:</w:t>
      </w:r>
      <w:r w:rsidRPr="00B67FC6">
        <w:rPr>
          <w:lang w:val="en-US"/>
        </w:rPr>
        <w:tab/>
      </w:r>
      <w:r w:rsidR="002527DF">
        <w:rPr>
          <w:lang w:val="en-US"/>
        </w:rPr>
        <w:t>1</w:t>
      </w:r>
      <w:r w:rsidR="001129A3">
        <w:rPr>
          <w:lang w:val="en-US"/>
        </w:rPr>
        <w:t>2</w:t>
      </w:r>
      <w:r w:rsidR="002527DF">
        <w:rPr>
          <w:lang w:val="en-US"/>
        </w:rPr>
        <w:t>.1.</w:t>
      </w:r>
      <w:r w:rsidR="001129A3">
        <w:rPr>
          <w:lang w:val="en-US"/>
        </w:rPr>
        <w:t>5</w:t>
      </w:r>
      <w:bookmarkStart w:id="1" w:name="_GoBack"/>
      <w:bookmarkEnd w:id="1"/>
    </w:p>
    <w:p w14:paraId="4DBE005A" w14:textId="77777777" w:rsidR="00D309CC" w:rsidRPr="00B67FC6" w:rsidRDefault="00D309CC" w:rsidP="00D309CC">
      <w:pPr>
        <w:pStyle w:val="CH"/>
        <w:rPr>
          <w:b w:val="0"/>
          <w:lang w:val="en-US"/>
        </w:rPr>
      </w:pPr>
      <w:r w:rsidRPr="00B67FC6">
        <w:rPr>
          <w:lang w:val="en-US"/>
        </w:rPr>
        <w:t>Source:</w:t>
      </w:r>
      <w:r w:rsidRPr="00B67FC6">
        <w:rPr>
          <w:lang w:val="en-US"/>
        </w:rPr>
        <w:tab/>
        <w:t>Apple Inc.</w:t>
      </w:r>
    </w:p>
    <w:p w14:paraId="0D2061A1" w14:textId="7DCB9E3A" w:rsidR="00D309CC" w:rsidRPr="00B67FC6" w:rsidRDefault="00D309CC" w:rsidP="003C701F">
      <w:pPr>
        <w:pStyle w:val="CH"/>
        <w:ind w:left="2250" w:hanging="2250"/>
        <w:rPr>
          <w:lang w:val="en-US"/>
        </w:rPr>
      </w:pPr>
      <w:r w:rsidRPr="00B67FC6">
        <w:rPr>
          <w:lang w:val="en-US"/>
        </w:rPr>
        <w:t>Title:</w:t>
      </w:r>
      <w:r w:rsidRPr="00B67FC6">
        <w:rPr>
          <w:lang w:val="en-US"/>
        </w:rPr>
        <w:tab/>
      </w:r>
      <w:r w:rsidR="003C701F" w:rsidRPr="003C701F">
        <w:rPr>
          <w:lang w:val="en-US"/>
        </w:rPr>
        <w:t>Impact of ET on measurement uncertainty and test tolerance of spherical coverage EIRP and EIS</w:t>
      </w:r>
    </w:p>
    <w:p w14:paraId="052B1E0C" w14:textId="4C00E388" w:rsidR="00104BC6" w:rsidRPr="00B67FC6" w:rsidRDefault="00104BC6" w:rsidP="00D309CC">
      <w:pPr>
        <w:pStyle w:val="CH"/>
        <w:rPr>
          <w:lang w:val="en-US"/>
        </w:rPr>
      </w:pPr>
      <w:r w:rsidRPr="00B67FC6">
        <w:rPr>
          <w:lang w:val="en-US"/>
        </w:rPr>
        <w:t>WI/SI:</w:t>
      </w:r>
      <w:r w:rsidRPr="00B67FC6">
        <w:rPr>
          <w:lang w:val="en-US"/>
        </w:rPr>
        <w:tab/>
      </w:r>
      <w:r w:rsidR="00A42A6E" w:rsidRPr="00A42A6E">
        <w:rPr>
          <w:lang w:val="en-US"/>
        </w:rPr>
        <w:t>FS_FR2_enhTestMethods</w:t>
      </w:r>
    </w:p>
    <w:p w14:paraId="6C6D1281" w14:textId="1EBB5C3E" w:rsidR="00104BC6" w:rsidRPr="00B67FC6" w:rsidRDefault="00104BC6" w:rsidP="00D309CC">
      <w:pPr>
        <w:pStyle w:val="CH"/>
        <w:rPr>
          <w:b w:val="0"/>
          <w:lang w:val="en-US"/>
        </w:rPr>
      </w:pPr>
      <w:r w:rsidRPr="00B67FC6">
        <w:rPr>
          <w:lang w:val="en-US"/>
        </w:rPr>
        <w:t>Release:</w:t>
      </w:r>
      <w:r w:rsidRPr="00B67FC6">
        <w:rPr>
          <w:lang w:val="en-US"/>
        </w:rPr>
        <w:tab/>
        <w:t>Rel-</w:t>
      </w:r>
      <w:r w:rsidR="00774153" w:rsidRPr="00B67FC6">
        <w:rPr>
          <w:lang w:val="en-US"/>
        </w:rPr>
        <w:t>1</w:t>
      </w:r>
      <w:r w:rsidR="00A42A6E">
        <w:rPr>
          <w:lang w:val="en-US"/>
        </w:rPr>
        <w:t>7</w:t>
      </w:r>
    </w:p>
    <w:p w14:paraId="2E4E044D" w14:textId="119628AB" w:rsidR="00D309CC" w:rsidRPr="00B67FC6" w:rsidRDefault="00D309CC" w:rsidP="00D309CC">
      <w:pPr>
        <w:pStyle w:val="CH"/>
        <w:rPr>
          <w:lang w:val="en-US"/>
        </w:rPr>
      </w:pPr>
      <w:r w:rsidRPr="00B67FC6">
        <w:rPr>
          <w:lang w:val="en-US"/>
        </w:rPr>
        <w:t>Document for:</w:t>
      </w:r>
      <w:r w:rsidRPr="00B67FC6">
        <w:rPr>
          <w:lang w:val="en-US"/>
        </w:rPr>
        <w:tab/>
      </w:r>
      <w:r w:rsidR="00A42A6E">
        <w:rPr>
          <w:lang w:val="en-US"/>
        </w:rPr>
        <w:t>Discussion</w:t>
      </w:r>
    </w:p>
    <w:p w14:paraId="0207DB43" w14:textId="77777777" w:rsidR="00D46431" w:rsidRPr="00B67FC6" w:rsidRDefault="00D46431" w:rsidP="00D309CC">
      <w:pPr>
        <w:pStyle w:val="CH"/>
        <w:rPr>
          <w:b w:val="0"/>
          <w:lang w:val="en-US"/>
        </w:rPr>
      </w:pPr>
    </w:p>
    <w:p w14:paraId="0273524A" w14:textId="77777777" w:rsidR="008E7986" w:rsidRPr="00B67FC6" w:rsidRDefault="008E7986" w:rsidP="008E7986">
      <w:pPr>
        <w:pStyle w:val="Heading1"/>
        <w:rPr>
          <w:lang w:val="en-US"/>
        </w:rPr>
      </w:pPr>
      <w:r w:rsidRPr="00B67FC6">
        <w:rPr>
          <w:lang w:val="en-US"/>
        </w:rPr>
        <w:t>1</w:t>
      </w:r>
      <w:r w:rsidRPr="00B67FC6">
        <w:rPr>
          <w:lang w:val="en-US"/>
        </w:rPr>
        <w:tab/>
        <w:t xml:space="preserve">Introduction </w:t>
      </w:r>
    </w:p>
    <w:p w14:paraId="4E888A08" w14:textId="4D6B263F" w:rsidR="00F01939" w:rsidRDefault="00AE0DCA" w:rsidP="00774153">
      <w:pPr>
        <w:rPr>
          <w:lang w:val="en-US"/>
        </w:rPr>
      </w:pPr>
      <w:r>
        <w:rPr>
          <w:lang w:val="en-US"/>
        </w:rPr>
        <w:t>The effort to enhance the FR2 test methodology with extreme temperature conditions</w:t>
      </w:r>
      <w:r w:rsidR="00CF2416">
        <w:rPr>
          <w:lang w:val="en-US"/>
        </w:rPr>
        <w:t xml:space="preserve"> (ETC)</w:t>
      </w:r>
      <w:r>
        <w:rPr>
          <w:lang w:val="en-US"/>
        </w:rPr>
        <w:t xml:space="preserve"> has begun as part of the </w:t>
      </w:r>
      <w:r>
        <w:t>s</w:t>
      </w:r>
      <w:r w:rsidRPr="003C701F">
        <w:t>tudy on enhanced test methods for FR2</w:t>
      </w:r>
      <w:r>
        <w:rPr>
          <w:lang w:val="en-US"/>
        </w:rPr>
        <w:t xml:space="preserve"> </w:t>
      </w:r>
      <w:r>
        <w:rPr>
          <w:lang w:val="en-US"/>
        </w:rPr>
        <w:fldChar w:fldCharType="begin"/>
      </w:r>
      <w:r>
        <w:rPr>
          <w:lang w:val="en-US"/>
        </w:rPr>
        <w:instrText xml:space="preserve"> REF _Ref61600776 \r \h </w:instrText>
      </w:r>
      <w:r>
        <w:rPr>
          <w:lang w:val="en-US"/>
        </w:rPr>
      </w:r>
      <w:r>
        <w:rPr>
          <w:lang w:val="en-US"/>
        </w:rPr>
        <w:fldChar w:fldCharType="separate"/>
      </w:r>
      <w:r w:rsidR="00842B9F">
        <w:rPr>
          <w:lang w:val="en-US"/>
        </w:rPr>
        <w:t>[1]</w:t>
      </w:r>
      <w:r>
        <w:rPr>
          <w:lang w:val="en-US"/>
        </w:rPr>
        <w:fldChar w:fldCharType="end"/>
      </w:r>
      <w:r>
        <w:rPr>
          <w:lang w:val="en-US"/>
        </w:rPr>
        <w:t xml:space="preserve">, and initial agreements on the topic were captured in </w:t>
      </w:r>
      <w:r>
        <w:rPr>
          <w:lang w:val="en-US"/>
        </w:rPr>
        <w:fldChar w:fldCharType="begin"/>
      </w:r>
      <w:r>
        <w:rPr>
          <w:lang w:val="en-US"/>
        </w:rPr>
        <w:instrText xml:space="preserve"> REF _Ref61600891 \r \h </w:instrText>
      </w:r>
      <w:r>
        <w:rPr>
          <w:lang w:val="en-US"/>
        </w:rPr>
      </w:r>
      <w:r>
        <w:rPr>
          <w:lang w:val="en-US"/>
        </w:rPr>
        <w:fldChar w:fldCharType="separate"/>
      </w:r>
      <w:r w:rsidR="00842B9F">
        <w:rPr>
          <w:lang w:val="en-US"/>
        </w:rPr>
        <w:t>[2]</w:t>
      </w:r>
      <w:r>
        <w:rPr>
          <w:lang w:val="en-US"/>
        </w:rPr>
        <w:fldChar w:fldCharType="end"/>
      </w:r>
      <w:r>
        <w:rPr>
          <w:lang w:val="en-US"/>
        </w:rPr>
        <w:t>:</w:t>
      </w:r>
    </w:p>
    <w:tbl>
      <w:tblPr>
        <w:tblStyle w:val="TableGrid"/>
        <w:tblW w:w="0" w:type="auto"/>
        <w:tblLook w:val="04A0" w:firstRow="1" w:lastRow="0" w:firstColumn="1" w:lastColumn="0" w:noHBand="0" w:noVBand="1"/>
      </w:tblPr>
      <w:tblGrid>
        <w:gridCol w:w="9631"/>
      </w:tblGrid>
      <w:tr w:rsidR="003C47BE" w14:paraId="0A0E87A8" w14:textId="77777777" w:rsidTr="003C47BE">
        <w:tc>
          <w:tcPr>
            <w:tcW w:w="9631" w:type="dxa"/>
          </w:tcPr>
          <w:p w14:paraId="0DAF6C5B" w14:textId="77777777" w:rsidR="00867D1B" w:rsidRDefault="00867D1B" w:rsidP="00867D1B">
            <w:pPr>
              <w:pStyle w:val="B1"/>
              <w:rPr>
                <w:lang w:eastAsia="ja-JP"/>
              </w:rPr>
            </w:pPr>
            <w:r>
              <w:rPr>
                <w:lang w:eastAsia="ja-JP"/>
              </w:rPr>
              <w:t>-</w:t>
            </w:r>
            <w:r>
              <w:rPr>
                <w:lang w:eastAsia="ja-JP"/>
              </w:rPr>
              <w:tab/>
              <w:t xml:space="preserve">From testing system perspective, the supporting of 3D scan with extreme temperature condition is confirmed by at least one TE vendor. </w:t>
            </w:r>
          </w:p>
          <w:p w14:paraId="1DDC959C" w14:textId="77777777" w:rsidR="00867D1B" w:rsidRDefault="00867D1B" w:rsidP="00867D1B">
            <w:pPr>
              <w:pStyle w:val="B1"/>
              <w:rPr>
                <w:lang w:eastAsia="ja-JP"/>
              </w:rPr>
            </w:pPr>
            <w:r>
              <w:rPr>
                <w:lang w:eastAsia="ja-JP"/>
              </w:rPr>
              <w:t>-</w:t>
            </w:r>
            <w:r>
              <w:rPr>
                <w:lang w:eastAsia="ja-JP"/>
              </w:rPr>
              <w:tab/>
              <w:t xml:space="preserve">RAN4 needs to further quantify and mitigate the impacts due to ETC 3D scan solution, and discuss how to treat some RF requirements applicability restrained to NTC. </w:t>
            </w:r>
          </w:p>
          <w:p w14:paraId="32643E24" w14:textId="77777777" w:rsidR="00867D1B" w:rsidRDefault="00867D1B" w:rsidP="00867D1B">
            <w:pPr>
              <w:pStyle w:val="B1"/>
              <w:rPr>
                <w:lang w:eastAsia="ja-JP"/>
              </w:rPr>
            </w:pPr>
            <w:r>
              <w:rPr>
                <w:lang w:eastAsia="ja-JP"/>
              </w:rPr>
              <w:t>-</w:t>
            </w:r>
            <w:r>
              <w:rPr>
                <w:lang w:eastAsia="ja-JP"/>
              </w:rPr>
              <w:tab/>
              <w:t>The impacts on requirements, measurement uncertainty and testing time should be quantified in RAN4</w:t>
            </w:r>
          </w:p>
          <w:p w14:paraId="4AB0B4F5" w14:textId="77777777" w:rsidR="00867D1B" w:rsidRDefault="00867D1B" w:rsidP="00867D1B">
            <w:pPr>
              <w:pStyle w:val="B2"/>
              <w:rPr>
                <w:lang w:eastAsia="ja-JP"/>
              </w:rPr>
            </w:pPr>
            <w:r>
              <w:rPr>
                <w:lang w:eastAsia="ja-JP"/>
              </w:rPr>
              <w:t>-</w:t>
            </w:r>
            <w:r>
              <w:rPr>
                <w:lang w:eastAsia="ja-JP"/>
              </w:rPr>
              <w:tab/>
              <w:t xml:space="preserve">RAN4 to calculate the EIRP shift of each point induced by thermal effect during the 3D scan, and the deviation should be considered as one of the aspects for test tolerance  </w:t>
            </w:r>
          </w:p>
          <w:p w14:paraId="781AF896" w14:textId="77777777" w:rsidR="00867D1B" w:rsidRDefault="00867D1B" w:rsidP="00867D1B">
            <w:pPr>
              <w:pStyle w:val="B2"/>
              <w:rPr>
                <w:lang w:eastAsia="ja-JP"/>
              </w:rPr>
            </w:pPr>
            <w:r>
              <w:rPr>
                <w:lang w:eastAsia="ja-JP"/>
              </w:rPr>
              <w:t>-</w:t>
            </w:r>
            <w:r>
              <w:rPr>
                <w:lang w:eastAsia="ja-JP"/>
              </w:rPr>
              <w:tab/>
              <w:t>Perform simulation to calculate the impacts of temperature on FR2 beamforming, and analyse the performance difference under 3D scan (spherical coverage and TRP) with ETC and NTC</w:t>
            </w:r>
          </w:p>
          <w:p w14:paraId="3DBF8DAD" w14:textId="77777777" w:rsidR="00867D1B" w:rsidRDefault="00867D1B" w:rsidP="00867D1B">
            <w:pPr>
              <w:pStyle w:val="B2"/>
              <w:rPr>
                <w:lang w:eastAsia="ja-JP"/>
              </w:rPr>
            </w:pPr>
            <w:r>
              <w:rPr>
                <w:lang w:eastAsia="ja-JP"/>
              </w:rPr>
              <w:t>-</w:t>
            </w:r>
            <w:r>
              <w:rPr>
                <w:lang w:eastAsia="ja-JP"/>
              </w:rPr>
              <w:tab/>
              <w:t>Identify new MU elements related to ETC testing, and test tolerance of [x] dB is required to address the measurement impact under ETC</w:t>
            </w:r>
          </w:p>
          <w:p w14:paraId="78AAF0FF" w14:textId="77777777" w:rsidR="00867D1B" w:rsidRDefault="00867D1B" w:rsidP="00867D1B">
            <w:pPr>
              <w:pStyle w:val="B1"/>
              <w:rPr>
                <w:lang w:eastAsia="ja-JP"/>
              </w:rPr>
            </w:pPr>
            <w:r>
              <w:rPr>
                <w:lang w:eastAsia="ja-JP"/>
              </w:rPr>
              <w:t>-</w:t>
            </w:r>
            <w:r>
              <w:rPr>
                <w:lang w:eastAsia="ja-JP"/>
              </w:rPr>
              <w:tab/>
              <w:t>Simulation assumptions for ETC:</w:t>
            </w:r>
          </w:p>
          <w:p w14:paraId="50EC6DF5" w14:textId="77777777" w:rsidR="00867D1B" w:rsidRPr="00867D1B" w:rsidRDefault="00867D1B" w:rsidP="00867D1B">
            <w:pPr>
              <w:pStyle w:val="B2"/>
            </w:pPr>
            <w:r w:rsidRPr="00867D1B">
              <w:t>-</w:t>
            </w:r>
            <w:r w:rsidRPr="00867D1B">
              <w:tab/>
              <w:t>Details of test methods enhancement need to be further discussed.</w:t>
            </w:r>
          </w:p>
          <w:p w14:paraId="19432BA5" w14:textId="77777777" w:rsidR="00867D1B" w:rsidRPr="00867D1B" w:rsidRDefault="00867D1B" w:rsidP="00867D1B">
            <w:pPr>
              <w:pStyle w:val="B2"/>
            </w:pPr>
            <w:r w:rsidRPr="00867D1B">
              <w:t>-</w:t>
            </w:r>
            <w:r w:rsidRPr="00867D1B">
              <w:tab/>
              <w:t>The basic UE assumption in [R4-1902684] for Spherical coverage can be reused for extreme temperature condition simulation to identify the impacts on UE performance</w:t>
            </w:r>
          </w:p>
          <w:p w14:paraId="5C8233EA" w14:textId="395D51B0" w:rsidR="003C47BE" w:rsidRPr="003C47BE" w:rsidRDefault="00867D1B" w:rsidP="00867D1B">
            <w:pPr>
              <w:pStyle w:val="B3"/>
              <w:rPr>
                <w:lang w:eastAsia="ja-JP"/>
              </w:rPr>
            </w:pPr>
            <w:r>
              <w:rPr>
                <w:lang w:eastAsia="ja-JP"/>
              </w:rPr>
              <w:t>-</w:t>
            </w:r>
            <w:r>
              <w:rPr>
                <w:lang w:eastAsia="ja-JP"/>
              </w:rPr>
              <w:tab/>
              <w:t>LNA noise figure, magnitude error, phase shifter, and RSRP error would be aspects can be considered</w:t>
            </w:r>
          </w:p>
        </w:tc>
      </w:tr>
    </w:tbl>
    <w:p w14:paraId="3CE810FF" w14:textId="77777777" w:rsidR="00BD12E0" w:rsidRDefault="00BD12E0" w:rsidP="00774153">
      <w:pPr>
        <w:rPr>
          <w:lang w:val="en-US"/>
        </w:rPr>
      </w:pPr>
    </w:p>
    <w:p w14:paraId="33E56131" w14:textId="43549579" w:rsidR="00AF3ADC" w:rsidRDefault="00AF3ADC" w:rsidP="00774153">
      <w:pPr>
        <w:rPr>
          <w:lang w:val="en-US"/>
        </w:rPr>
      </w:pPr>
      <w:r>
        <w:rPr>
          <w:lang w:val="en-US"/>
        </w:rPr>
        <w:t xml:space="preserve">This contribution provides </w:t>
      </w:r>
      <w:r w:rsidR="00737CE7">
        <w:rPr>
          <w:lang w:val="en-US"/>
        </w:rPr>
        <w:t>our views on the topic as well as initial simulation results.</w:t>
      </w:r>
    </w:p>
    <w:p w14:paraId="3A67921B" w14:textId="2EA2DE35" w:rsidR="008E7986" w:rsidRDefault="008E7986" w:rsidP="008E7986">
      <w:pPr>
        <w:pStyle w:val="Heading1"/>
        <w:rPr>
          <w:lang w:val="en-US"/>
        </w:rPr>
      </w:pPr>
      <w:r w:rsidRPr="00B67FC6">
        <w:rPr>
          <w:lang w:val="en-US"/>
        </w:rPr>
        <w:t>2</w:t>
      </w:r>
      <w:r w:rsidRPr="00B67FC6">
        <w:rPr>
          <w:lang w:val="en-US"/>
        </w:rPr>
        <w:tab/>
      </w:r>
      <w:r w:rsidR="00E024C7" w:rsidRPr="00B67FC6">
        <w:rPr>
          <w:lang w:val="en-US"/>
        </w:rPr>
        <w:t>Discussion</w:t>
      </w:r>
    </w:p>
    <w:p w14:paraId="72EA40AB" w14:textId="36E312D3" w:rsidR="003C701F" w:rsidRDefault="003C701F" w:rsidP="0055501F">
      <w:r>
        <w:t>Two simulation cases are provided for DUT with two 2 panels for 9 beam codebooks (15-degree step) and 21 beam code books (7.5-degree step). Mutual coupling, form factor integration, and implementation losses are not modelled. Reference coverage CDF pattern for 9 beam code books and 21 code books with no impairment are shown in Figure 1 and Figure 2 below.</w:t>
      </w:r>
    </w:p>
    <w:p w14:paraId="1FBFD8FC" w14:textId="77777777" w:rsidR="003C701F" w:rsidRPr="004D3578" w:rsidRDefault="003C701F" w:rsidP="003C701F">
      <w:pPr>
        <w:pStyle w:val="TH"/>
      </w:pPr>
      <w:r w:rsidRPr="008B538D">
        <w:rPr>
          <w:noProof/>
        </w:rPr>
        <w:lastRenderedPageBreak/>
        <w:drawing>
          <wp:inline distT="0" distB="0" distL="0" distR="0" wp14:anchorId="0682ECE9" wp14:editId="7BF8D61D">
            <wp:extent cx="1828800" cy="177948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28800" cy="1779481"/>
                    </a:xfrm>
                    <a:prstGeom prst="rect">
                      <a:avLst/>
                    </a:prstGeom>
                  </pic:spPr>
                </pic:pic>
              </a:graphicData>
            </a:graphic>
          </wp:inline>
        </w:drawing>
      </w:r>
    </w:p>
    <w:p w14:paraId="1DF3EE93" w14:textId="77777777" w:rsidR="003C701F" w:rsidRPr="008B538D" w:rsidRDefault="003C701F" w:rsidP="003C701F">
      <w:pPr>
        <w:pStyle w:val="TF"/>
      </w:pPr>
      <w:r w:rsidRPr="004D3578">
        <w:t xml:space="preserve">Figure 1: </w:t>
      </w:r>
      <w:r>
        <w:t>Spherical Coverage CDF for 9 beam code books</w:t>
      </w:r>
    </w:p>
    <w:p w14:paraId="32144BA1" w14:textId="77777777" w:rsidR="003C701F" w:rsidRPr="004D3578" w:rsidRDefault="003C701F" w:rsidP="003C701F">
      <w:pPr>
        <w:pStyle w:val="TH"/>
      </w:pPr>
      <w:r w:rsidRPr="00DE2CB6">
        <w:rPr>
          <w:noProof/>
        </w:rPr>
        <w:drawing>
          <wp:inline distT="0" distB="0" distL="0" distR="0" wp14:anchorId="6471D919" wp14:editId="7E21EC12">
            <wp:extent cx="1828800" cy="16546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28800" cy="1654629"/>
                    </a:xfrm>
                    <a:prstGeom prst="rect">
                      <a:avLst/>
                    </a:prstGeom>
                  </pic:spPr>
                </pic:pic>
              </a:graphicData>
            </a:graphic>
          </wp:inline>
        </w:drawing>
      </w:r>
    </w:p>
    <w:p w14:paraId="4FA62B3D" w14:textId="77777777" w:rsidR="003C701F" w:rsidRPr="004D3578" w:rsidRDefault="003C701F" w:rsidP="003C701F">
      <w:pPr>
        <w:pStyle w:val="TF"/>
      </w:pPr>
      <w:r w:rsidRPr="004D3578">
        <w:t xml:space="preserve">Figure </w:t>
      </w:r>
      <w:r>
        <w:t>2</w:t>
      </w:r>
      <w:r w:rsidRPr="004D3578">
        <w:t xml:space="preserve">: </w:t>
      </w:r>
      <w:r>
        <w:t>Spherical Coverage CDF for 21 beam code books</w:t>
      </w:r>
    </w:p>
    <w:p w14:paraId="34D5B580" w14:textId="7F6F491C" w:rsidR="003C701F" w:rsidRPr="009308F4" w:rsidRDefault="003C701F" w:rsidP="0055501F">
      <w:r w:rsidRPr="009308F4">
        <w:rPr>
          <w:lang w:val="en-US"/>
        </w:rPr>
        <w:t xml:space="preserve">As we mentioned in </w:t>
      </w:r>
      <w:r w:rsidR="00A21361">
        <w:rPr>
          <w:lang w:val="en-US"/>
        </w:rPr>
        <w:fldChar w:fldCharType="begin"/>
      </w:r>
      <w:r w:rsidR="00A21361">
        <w:rPr>
          <w:lang w:val="en-US"/>
        </w:rPr>
        <w:instrText xml:space="preserve"> REF _Ref61600679 \r \h </w:instrText>
      </w:r>
      <w:r w:rsidR="00A21361">
        <w:rPr>
          <w:lang w:val="en-US"/>
        </w:rPr>
      </w:r>
      <w:r w:rsidR="00A21361">
        <w:rPr>
          <w:lang w:val="en-US"/>
        </w:rPr>
        <w:fldChar w:fldCharType="separate"/>
      </w:r>
      <w:r w:rsidR="00842B9F">
        <w:rPr>
          <w:lang w:val="en-US"/>
        </w:rPr>
        <w:t>[4]</w:t>
      </w:r>
      <w:r w:rsidR="00A21361">
        <w:rPr>
          <w:lang w:val="en-US"/>
        </w:rPr>
        <w:fldChar w:fldCharType="end"/>
      </w:r>
      <w:r w:rsidRPr="009308F4">
        <w:rPr>
          <w:lang w:val="en-US"/>
        </w:rPr>
        <w:t xml:space="preserve">, the current REFSENS requirement is derived at </w:t>
      </w:r>
      <w:r w:rsidRPr="009308F4">
        <w:t>20</w:t>
      </w:r>
      <w:r w:rsidRPr="009308F4">
        <w:sym w:font="Symbol" w:char="F0B0"/>
      </w:r>
      <w:r w:rsidRPr="009308F4">
        <w:t xml:space="preserve">C as it is using -174 dBm(kT). Therefore, the </w:t>
      </w:r>
      <w:r w:rsidRPr="009308F4">
        <w:rPr>
          <w:lang w:val="en-US"/>
        </w:rPr>
        <w:t xml:space="preserve">difference in the noise floor between </w:t>
      </w:r>
      <w:r w:rsidRPr="009308F4">
        <w:t>20</w:t>
      </w:r>
      <w:r w:rsidRPr="009308F4">
        <w:sym w:font="Symbol" w:char="F0B0"/>
      </w:r>
      <w:r w:rsidRPr="009308F4">
        <w:t>C and either of two extreme temperatures i.e. -10</w:t>
      </w:r>
      <w:r w:rsidRPr="009308F4">
        <w:sym w:font="Symbol" w:char="F0B0"/>
      </w:r>
      <w:r w:rsidRPr="009308F4">
        <w:t>C and +55</w:t>
      </w:r>
      <w:r w:rsidRPr="009308F4">
        <w:sym w:font="Symbol" w:char="F0B0"/>
      </w:r>
      <w:r w:rsidRPr="009308F4">
        <w:t xml:space="preserve">C is about 0.5 dB using the equation below. </w:t>
      </w:r>
    </w:p>
    <w:p w14:paraId="05A0D063" w14:textId="77777777" w:rsidR="003C701F" w:rsidRPr="009308F4" w:rsidRDefault="003C701F" w:rsidP="003C701F">
      <w:pPr>
        <w:rPr>
          <w:rFonts w:ascii="Arial" w:hAnsi="Arial" w:cs="Arial"/>
        </w:rPr>
      </w:pPr>
    </w:p>
    <w:p w14:paraId="05671420" w14:textId="77777777" w:rsidR="003C701F" w:rsidRPr="009308F4" w:rsidRDefault="003C701F" w:rsidP="003C701F">
      <w:pPr>
        <w:rPr>
          <w:rFonts w:ascii="Arial" w:hAnsi="Arial" w:cs="Arial"/>
        </w:rPr>
      </w:pPr>
      <m:oMathPara>
        <m:oMath>
          <m:r>
            <m:rPr>
              <m:sty m:val="p"/>
            </m:rPr>
            <w:rPr>
              <w:rFonts w:ascii="Cambria Math" w:hAnsi="Cambria Math" w:cs="Arial"/>
            </w:rPr>
            <m:t>∆NF=10</m:t>
          </m:r>
          <m:sSub>
            <m:sSubPr>
              <m:ctrlPr>
                <w:rPr>
                  <w:rFonts w:ascii="Cambria Math" w:hAnsi="Cambria Math" w:cs="Arial"/>
                </w:rPr>
              </m:ctrlPr>
            </m:sSubPr>
            <m:e>
              <m:r>
                <m:rPr>
                  <m:sty m:val="p"/>
                </m:rPr>
                <w:rPr>
                  <w:rFonts w:ascii="Cambria Math" w:hAnsi="Cambria Math" w:cs="Arial"/>
                </w:rPr>
                <m:t>log</m:t>
              </m:r>
            </m:e>
            <m:sub>
              <m:r>
                <m:rPr>
                  <m:sty m:val="p"/>
                </m:rPr>
                <w:rPr>
                  <w:rFonts w:ascii="Cambria Math" w:hAnsi="Cambria Math" w:cs="Arial"/>
                </w:rPr>
                <m:t>10</m:t>
              </m:r>
            </m:sub>
          </m:sSub>
          <m:d>
            <m:dPr>
              <m:ctrlPr>
                <w:rPr>
                  <w:rFonts w:ascii="Cambria Math" w:hAnsi="Cambria Math" w:cs="Arial"/>
                </w:rPr>
              </m:ctrlPr>
            </m:dPr>
            <m:e>
              <m:f>
                <m:fPr>
                  <m:ctrlPr>
                    <w:rPr>
                      <w:rFonts w:ascii="Cambria Math" w:hAnsi="Cambria Math" w:cs="Arial"/>
                    </w:rPr>
                  </m:ctrlPr>
                </m:fPr>
                <m:num>
                  <m:r>
                    <m:rPr>
                      <m:sty m:val="p"/>
                    </m:rPr>
                    <w:rPr>
                      <w:rFonts w:ascii="Cambria Math" w:hAnsi="Cambria Math" w:cs="Arial"/>
                    </w:rPr>
                    <m:t>273.15+55</m:t>
                  </m:r>
                </m:num>
                <m:den>
                  <m:r>
                    <m:rPr>
                      <m:sty m:val="p"/>
                    </m:rPr>
                    <w:rPr>
                      <w:rFonts w:ascii="Cambria Math" w:hAnsi="Cambria Math" w:cs="Arial"/>
                    </w:rPr>
                    <m:t>273.15+20</m:t>
                  </m:r>
                </m:den>
              </m:f>
            </m:e>
          </m:d>
          <m:r>
            <m:rPr>
              <m:sty m:val="p"/>
            </m:rPr>
            <w:rPr>
              <w:rFonts w:ascii="Cambria Math" w:hAnsi="Cambria Math" w:cs="Arial"/>
            </w:rPr>
            <m:t>≈0.5dB</m:t>
          </m:r>
        </m:oMath>
      </m:oMathPara>
    </w:p>
    <w:p w14:paraId="5E7BBEE7" w14:textId="77777777" w:rsidR="003C701F" w:rsidRPr="009308F4" w:rsidRDefault="003C701F" w:rsidP="003C701F">
      <w:pPr>
        <w:rPr>
          <w:rFonts w:ascii="Arial" w:hAnsi="Arial" w:cs="Arial"/>
        </w:rPr>
      </w:pPr>
    </w:p>
    <w:p w14:paraId="293676E1" w14:textId="03C059CC" w:rsidR="00221742" w:rsidRDefault="00221742" w:rsidP="00221742">
      <w:pPr>
        <w:pStyle w:val="Observation"/>
      </w:pPr>
      <w:bookmarkStart w:id="2" w:name="_Toc61583395"/>
      <w:bookmarkStart w:id="3" w:name="_Toc61600064"/>
      <w:bookmarkStart w:id="4" w:name="_Toc61600098"/>
      <w:bookmarkStart w:id="5" w:name="_Toc61600416"/>
      <w:bookmarkStart w:id="6" w:name="_Toc61600536"/>
      <w:bookmarkStart w:id="7" w:name="_Toc61600572"/>
      <w:bookmarkStart w:id="8" w:name="_Toc61601626"/>
      <w:r>
        <w:t>Observation 1:</w:t>
      </w:r>
      <w:r>
        <w:tab/>
      </w:r>
      <w:r w:rsidRPr="00221742">
        <w:t>The REFSENS requirement is derived under normal temperature condition (NTC) assumption and testing it in extreme temperature condition (ETC) will result in 0.5dB difference in noise floor</w:t>
      </w:r>
      <w:r>
        <w:t>.</w:t>
      </w:r>
      <w:bookmarkEnd w:id="2"/>
      <w:bookmarkEnd w:id="3"/>
      <w:bookmarkEnd w:id="4"/>
      <w:bookmarkEnd w:id="5"/>
      <w:bookmarkEnd w:id="6"/>
      <w:bookmarkEnd w:id="7"/>
      <w:bookmarkEnd w:id="8"/>
    </w:p>
    <w:p w14:paraId="5709C469" w14:textId="2B5C5796" w:rsidR="003C701F" w:rsidRDefault="003C701F" w:rsidP="0055501F">
      <w:r w:rsidRPr="009308F4">
        <w:rPr>
          <w:lang w:val="en-US"/>
        </w:rPr>
        <w:t xml:space="preserve">The extreme temperature not only changes the thermal noise floor, but also </w:t>
      </w:r>
      <w:r w:rsidR="009B1628">
        <w:rPr>
          <w:lang w:val="en-US"/>
        </w:rPr>
        <w:t>impacts</w:t>
      </w:r>
      <w:r w:rsidRPr="009308F4">
        <w:rPr>
          <w:lang w:val="en-US"/>
        </w:rPr>
        <w:t xml:space="preserve"> much more inside the ICs. For example, usually the gain changes, where a lower gain at higher temperatures results in a higher cascaded noise figure. Further, ETC will also increase the phase noise of the LO which decreases the SNR. Furthermore, ETC also changes the phase and amplitude balance of the IQ down-conversion thus reducing the performance. </w:t>
      </w:r>
      <w:r>
        <w:t xml:space="preserve">The modeled impairments to evaluate the impact of beam peak direction are LNA noise figure, phase shifter, and RSRP error. To represent the impact of beam peak direction from ETC, an ISSCC publication </w:t>
      </w:r>
      <w:r w:rsidR="00A21361">
        <w:fldChar w:fldCharType="begin"/>
      </w:r>
      <w:r w:rsidR="00A21361">
        <w:instrText xml:space="preserve"> REF _Ref61600691 \r \h </w:instrText>
      </w:r>
      <w:r w:rsidR="00A21361">
        <w:fldChar w:fldCharType="separate"/>
      </w:r>
      <w:r w:rsidR="00842B9F">
        <w:t>[5]</w:t>
      </w:r>
      <w:r w:rsidR="00A21361">
        <w:fldChar w:fldCharType="end"/>
      </w:r>
      <w:r>
        <w:t xml:space="preserve"> is used to derive more practical parameters for magnitude error and phase error. </w:t>
      </w:r>
    </w:p>
    <w:p w14:paraId="2CC0CFC1" w14:textId="77777777" w:rsidR="003C701F" w:rsidRDefault="003C701F" w:rsidP="003C701F">
      <w:pPr>
        <w:jc w:val="center"/>
        <w:rPr>
          <w:rFonts w:ascii="Arial" w:hAnsi="Arial" w:cs="Arial"/>
        </w:rPr>
      </w:pPr>
      <w:r w:rsidRPr="009308F4">
        <w:rPr>
          <w:rFonts w:ascii="Arial" w:hAnsi="Arial" w:cs="Arial"/>
          <w:noProof/>
        </w:rPr>
        <w:lastRenderedPageBreak/>
        <w:drawing>
          <wp:inline distT="0" distB="0" distL="0" distR="0" wp14:anchorId="3AC40CDC" wp14:editId="0E2E31F6">
            <wp:extent cx="4301473" cy="3741983"/>
            <wp:effectExtent l="0" t="0" r="4445"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25418" cy="3762813"/>
                    </a:xfrm>
                    <a:prstGeom prst="rect">
                      <a:avLst/>
                    </a:prstGeom>
                  </pic:spPr>
                </pic:pic>
              </a:graphicData>
            </a:graphic>
          </wp:inline>
        </w:drawing>
      </w:r>
    </w:p>
    <w:p w14:paraId="7BEEF042" w14:textId="77777777" w:rsidR="003C701F" w:rsidRPr="00215722" w:rsidRDefault="003C701F" w:rsidP="003C701F">
      <w:pPr>
        <w:jc w:val="center"/>
        <w:rPr>
          <w:rFonts w:ascii="Arial" w:hAnsi="Arial" w:cs="Arial"/>
          <w:b/>
          <w:bCs/>
        </w:rPr>
      </w:pPr>
      <w:r w:rsidRPr="00215722">
        <w:rPr>
          <w:rFonts w:ascii="Arial" w:hAnsi="Arial" w:cs="Arial"/>
          <w:b/>
          <w:bCs/>
        </w:rPr>
        <w:t xml:space="preserve">Figure 3: Temperature impact on Tx/Rx parameters </w:t>
      </w:r>
    </w:p>
    <w:p w14:paraId="145934DF" w14:textId="108A030D" w:rsidR="001744CA" w:rsidRDefault="001744CA" w:rsidP="001744CA">
      <w:pPr>
        <w:pStyle w:val="Observation"/>
      </w:pPr>
      <w:bookmarkStart w:id="9" w:name="_Toc61600417"/>
      <w:bookmarkStart w:id="10" w:name="_Toc61600537"/>
      <w:bookmarkStart w:id="11" w:name="_Toc61600573"/>
      <w:bookmarkStart w:id="12" w:name="_Toc61601627"/>
      <w:r>
        <w:t>Observation 2:</w:t>
      </w:r>
      <w:r>
        <w:tab/>
      </w:r>
      <w:r w:rsidRPr="001744CA">
        <w:t>In addition to impact on thermal noise floor which impacts magnitude error, TX/RX VGA gain control and phase shifter loss variation also impact magnitude error. It is expected to observe 0.1 dB under NTC and 1.0 dB under ETC</w:t>
      </w:r>
      <w:r>
        <w:t>.</w:t>
      </w:r>
      <w:bookmarkEnd w:id="9"/>
      <w:bookmarkEnd w:id="10"/>
      <w:bookmarkEnd w:id="11"/>
      <w:bookmarkEnd w:id="12"/>
    </w:p>
    <w:p w14:paraId="760FB814" w14:textId="384DCE55" w:rsidR="001744CA" w:rsidRDefault="001744CA" w:rsidP="001744CA">
      <w:pPr>
        <w:pStyle w:val="Observation"/>
      </w:pPr>
      <w:bookmarkStart w:id="13" w:name="_Toc61600418"/>
      <w:bookmarkStart w:id="14" w:name="_Toc61600538"/>
      <w:bookmarkStart w:id="15" w:name="_Toc61600574"/>
      <w:bookmarkStart w:id="16" w:name="_Toc61601628"/>
      <w:r>
        <w:t>Observation 3:</w:t>
      </w:r>
      <w:r>
        <w:tab/>
      </w:r>
      <w:r w:rsidRPr="001744CA">
        <w:t>Phase error from TX/RX VGA phase variation which impacts beam forming is 1.5° under NTC and 2.0° under ETC</w:t>
      </w:r>
      <w:r>
        <w:t>.</w:t>
      </w:r>
      <w:bookmarkEnd w:id="13"/>
      <w:bookmarkEnd w:id="14"/>
      <w:bookmarkEnd w:id="15"/>
      <w:bookmarkEnd w:id="16"/>
    </w:p>
    <w:p w14:paraId="16E42097" w14:textId="707EDC29" w:rsidR="003C701F" w:rsidRDefault="003C701F" w:rsidP="0055501F">
      <w:r>
        <w:rPr>
          <w:lang w:val="en-US"/>
        </w:rPr>
        <w:t xml:space="preserve">Both Peak EIRP and Peak EIS measurement requires Rx beam sweep to have best beam forming in each direction. Having RSRP error could cause the DUT to select the wrong beam. In addition, </w:t>
      </w:r>
      <w:r>
        <w:t>i</w:t>
      </w:r>
      <w:r w:rsidRPr="00850355">
        <w:t xml:space="preserve">n order to find the beam peak direction in ETC, the test vendor should increase/decrease the temperature around the DUT by, for example, putting a bubble around DUT which increases the insertion loss. It is also worth noting that by putting the bubble around the DUT, the beam peak direction may change and it is thus needed to find the beam peak direction again in ETC. </w:t>
      </w:r>
    </w:p>
    <w:p w14:paraId="658D203A" w14:textId="337DAF65" w:rsidR="001744CA" w:rsidRDefault="001744CA" w:rsidP="001744CA">
      <w:pPr>
        <w:pStyle w:val="Observation"/>
      </w:pPr>
      <w:bookmarkStart w:id="17" w:name="_Toc61600419"/>
      <w:bookmarkStart w:id="18" w:name="_Toc61600539"/>
      <w:bookmarkStart w:id="19" w:name="_Toc61600575"/>
      <w:bookmarkStart w:id="20" w:name="_Toc61601629"/>
      <w:r>
        <w:t>Observation 4:</w:t>
      </w:r>
      <w:r>
        <w:tab/>
      </w:r>
      <w:r w:rsidRPr="001744CA">
        <w:t>RSRP measurement accuracy for RRM specification in FR2 is derived from TS 38.133 clauses 10.1.3 is 6 dB for NTC and 9 dB for ETC. The RRM requirement is defined as low SNR. The beam correspondence tolerance requirement is defined over the link angles “corresponding to the top 50% of the EIRP measurement over the whole sphere.” This, the BC requirement is defined as high SNR, so RSRP error is expected to be less than 6 dB for NTC and less than 9 dB for ETC</w:t>
      </w:r>
      <w:r>
        <w:t>.</w:t>
      </w:r>
      <w:bookmarkEnd w:id="17"/>
      <w:bookmarkEnd w:id="18"/>
      <w:bookmarkEnd w:id="19"/>
      <w:bookmarkEnd w:id="20"/>
    </w:p>
    <w:p w14:paraId="17EAC047" w14:textId="7512FFFE" w:rsidR="003C701F" w:rsidRPr="004D3578" w:rsidRDefault="003C701F" w:rsidP="004E25AE">
      <w:bookmarkStart w:id="21" w:name="_Toc61600420"/>
      <w:r>
        <w:t>Based on observations given above, we use magnitude error, phase error, and RSRP error to simulate</w:t>
      </w:r>
      <w:bookmarkStart w:id="22" w:name="_Toc61600421"/>
      <w:bookmarkEnd w:id="21"/>
      <w:r w:rsidR="0055501F">
        <w:rPr>
          <w:i/>
        </w:rPr>
        <w:t xml:space="preserve"> </w:t>
      </w:r>
      <w:r w:rsidR="0055501F" w:rsidRPr="009535AD">
        <w:t>the</w:t>
      </w:r>
      <w:r w:rsidR="0055501F">
        <w:rPr>
          <w:i/>
        </w:rPr>
        <w:t xml:space="preserve"> </w:t>
      </w:r>
      <w:r>
        <w:t>impact of beam peak direction between NTC and ETC.</w:t>
      </w:r>
      <w:bookmarkEnd w:id="22"/>
    </w:p>
    <w:p w14:paraId="61C01875" w14:textId="1B6F1071" w:rsidR="00900791" w:rsidRPr="00900791" w:rsidRDefault="00900791" w:rsidP="00900791">
      <w:pPr>
        <w:pStyle w:val="Observation"/>
      </w:pPr>
      <w:bookmarkStart w:id="23" w:name="_Toc61600423"/>
      <w:bookmarkStart w:id="24" w:name="_Toc61600540"/>
      <w:bookmarkStart w:id="25" w:name="_Toc61600576"/>
      <w:bookmarkStart w:id="26" w:name="_Toc61601630"/>
      <w:r>
        <w:t>Observation 5:</w:t>
      </w:r>
      <w:r>
        <w:tab/>
      </w:r>
      <w:r w:rsidRPr="00900791">
        <w:t xml:space="preserve">Based on </w:t>
      </w:r>
      <w:r w:rsidR="00FF744E">
        <w:t xml:space="preserve">our initial </w:t>
      </w:r>
      <w:r w:rsidRPr="00900791">
        <w:t>simulations with all impairment models, maximum difference magnitude and angle in beam peak direction between ETC and NTC for worst case of 9 beam code books and 21 beam code books is 0.9 dB and 14°</w:t>
      </w:r>
      <w:r>
        <w:t>.</w:t>
      </w:r>
      <w:bookmarkEnd w:id="23"/>
      <w:bookmarkEnd w:id="24"/>
      <w:bookmarkEnd w:id="25"/>
      <w:bookmarkEnd w:id="26"/>
    </w:p>
    <w:p w14:paraId="76B8C548" w14:textId="50FA512C" w:rsidR="003C701F" w:rsidRDefault="009F2421" w:rsidP="0055501F">
      <w:pPr>
        <w:rPr>
          <w:i/>
          <w:lang w:val="en-US"/>
        </w:rPr>
      </w:pPr>
      <w:bookmarkStart w:id="27" w:name="_Toc61600424"/>
      <w:r>
        <w:rPr>
          <w:lang w:val="en-US"/>
        </w:rPr>
        <w:t>W</w:t>
      </w:r>
      <w:r w:rsidR="003C701F">
        <w:rPr>
          <w:lang w:val="en-US"/>
        </w:rPr>
        <w:t xml:space="preserve">e can </w:t>
      </w:r>
      <w:r>
        <w:rPr>
          <w:lang w:val="en-US"/>
        </w:rPr>
        <w:t xml:space="preserve">consider </w:t>
      </w:r>
      <w:r w:rsidR="003C701F">
        <w:rPr>
          <w:lang w:val="en-US"/>
        </w:rPr>
        <w:t>improv</w:t>
      </w:r>
      <w:r>
        <w:rPr>
          <w:lang w:val="en-US"/>
        </w:rPr>
        <w:t>ements to the test procesure as follows</w:t>
      </w:r>
      <w:r w:rsidR="003C701F">
        <w:rPr>
          <w:lang w:val="en-US"/>
        </w:rPr>
        <w:t>:</w:t>
      </w:r>
      <w:bookmarkEnd w:id="27"/>
    </w:p>
    <w:p w14:paraId="29754568" w14:textId="0B443BC2" w:rsidR="003C701F" w:rsidRDefault="0055501F" w:rsidP="0055501F">
      <w:pPr>
        <w:pStyle w:val="B1"/>
        <w:rPr>
          <w:i/>
          <w:lang w:val="en-US"/>
        </w:rPr>
      </w:pPr>
      <w:bookmarkStart w:id="28" w:name="_Toc61600425"/>
      <w:r>
        <w:rPr>
          <w:lang w:val="en-US"/>
        </w:rPr>
        <w:t>1)</w:t>
      </w:r>
      <w:r>
        <w:rPr>
          <w:lang w:val="en-US"/>
        </w:rPr>
        <w:tab/>
      </w:r>
      <w:r w:rsidR="003C701F">
        <w:rPr>
          <w:lang w:val="en-US"/>
        </w:rPr>
        <w:t>Find the beam peak under NTC following TS38.810 clause 5.2.13.7</w:t>
      </w:r>
      <w:bookmarkEnd w:id="28"/>
    </w:p>
    <w:p w14:paraId="12F47024" w14:textId="68063AA3" w:rsidR="003C701F" w:rsidRPr="00E61FC2" w:rsidRDefault="0055501F" w:rsidP="0055501F">
      <w:pPr>
        <w:pStyle w:val="B1"/>
        <w:rPr>
          <w:i/>
        </w:rPr>
      </w:pPr>
      <w:bookmarkStart w:id="29" w:name="_Toc61600426"/>
      <w:r>
        <w:rPr>
          <w:lang w:val="en-US"/>
        </w:rPr>
        <w:t>2)</w:t>
      </w:r>
      <w:r>
        <w:rPr>
          <w:lang w:val="en-US"/>
        </w:rPr>
        <w:tab/>
      </w:r>
      <w:r w:rsidR="003C701F">
        <w:rPr>
          <w:lang w:val="en-US"/>
        </w:rPr>
        <w:t>Lock the beam peak such that UE doesn’t perform DL beam sweeping</w:t>
      </w:r>
      <w:bookmarkEnd w:id="29"/>
      <w:r w:rsidR="003C701F">
        <w:rPr>
          <w:lang w:val="en-US"/>
        </w:rPr>
        <w:t xml:space="preserve"> </w:t>
      </w:r>
    </w:p>
    <w:p w14:paraId="467EC1E3" w14:textId="1E138ECD" w:rsidR="003C701F" w:rsidRPr="00E61FC2" w:rsidRDefault="0055501F" w:rsidP="0055501F">
      <w:pPr>
        <w:pStyle w:val="B1"/>
        <w:rPr>
          <w:i/>
        </w:rPr>
      </w:pPr>
      <w:bookmarkStart w:id="30" w:name="_Toc61600427"/>
      <w:r>
        <w:rPr>
          <w:lang w:val="en-US"/>
        </w:rPr>
        <w:t>3)</w:t>
      </w:r>
      <w:r>
        <w:rPr>
          <w:lang w:val="en-US"/>
        </w:rPr>
        <w:tab/>
      </w:r>
      <w:r w:rsidR="003C701F">
        <w:rPr>
          <w:lang w:val="en-US"/>
        </w:rPr>
        <w:t>Lock UE position relative to measurement antenna</w:t>
      </w:r>
      <w:bookmarkEnd w:id="30"/>
    </w:p>
    <w:p w14:paraId="07E0ECC6" w14:textId="58268E63" w:rsidR="003C701F" w:rsidRPr="00E61FC2" w:rsidRDefault="0055501F" w:rsidP="0055501F">
      <w:pPr>
        <w:pStyle w:val="B1"/>
        <w:rPr>
          <w:i/>
        </w:rPr>
      </w:pPr>
      <w:bookmarkStart w:id="31" w:name="_Toc61600428"/>
      <w:r>
        <w:rPr>
          <w:lang w:val="en-US"/>
        </w:rPr>
        <w:t>4)</w:t>
      </w:r>
      <w:r>
        <w:rPr>
          <w:lang w:val="en-US"/>
        </w:rPr>
        <w:tab/>
      </w:r>
      <w:r w:rsidR="003C701F">
        <w:rPr>
          <w:lang w:val="en-US"/>
        </w:rPr>
        <w:t>Apply ETC</w:t>
      </w:r>
      <w:bookmarkEnd w:id="31"/>
    </w:p>
    <w:p w14:paraId="5AE80A18" w14:textId="4A55548B" w:rsidR="003C701F" w:rsidRDefault="003C701F" w:rsidP="003C701F">
      <w:pPr>
        <w:pStyle w:val="Observation"/>
        <w:contextualSpacing/>
        <w:rPr>
          <w:rFonts w:ascii="Arial" w:hAnsi="Arial" w:cs="Arial"/>
          <w:bCs/>
          <w:i w:val="0"/>
          <w:iCs/>
          <w:lang w:val="en-US"/>
        </w:rPr>
      </w:pPr>
    </w:p>
    <w:p w14:paraId="2EC754E6" w14:textId="72C70DE7" w:rsidR="003C701F" w:rsidRPr="00A21361" w:rsidRDefault="00900791" w:rsidP="00A21361">
      <w:pPr>
        <w:pStyle w:val="Observation"/>
      </w:pPr>
      <w:bookmarkStart w:id="32" w:name="_Toc61600429"/>
      <w:bookmarkStart w:id="33" w:name="_Toc61600541"/>
      <w:bookmarkStart w:id="34" w:name="_Toc61600577"/>
      <w:bookmarkStart w:id="35" w:name="_Toc61601631"/>
      <w:r>
        <w:t>Observation 6:</w:t>
      </w:r>
      <w:r>
        <w:tab/>
        <w:t>With proposed procedure by locking beam peak in NTC, then apply ETC. RSRP error between ETC and NTC shall be negligible; however, the impact of magnitude error and phase error is expected. The maximum difference in beam peak direction between ETC and NTC with magnitude error and phase error for worst case of 9 beam code books and 21 beam code books is 0.7 dB and 12°.</w:t>
      </w:r>
      <w:bookmarkEnd w:id="32"/>
      <w:bookmarkEnd w:id="33"/>
      <w:bookmarkEnd w:id="34"/>
      <w:bookmarkEnd w:id="35"/>
    </w:p>
    <w:p w14:paraId="14786589" w14:textId="596D430A" w:rsidR="003C701F" w:rsidRDefault="003C701F" w:rsidP="0055501F">
      <w:bookmarkStart w:id="36" w:name="_Toc61600430"/>
      <w:bookmarkStart w:id="37" w:name="_Toc61600542"/>
      <w:r w:rsidRPr="005D0D38">
        <w:t xml:space="preserve">Based on observations given above, we think it makes sense to </w:t>
      </w:r>
      <w:r>
        <w:t>add additional test procedure for ETC test</w:t>
      </w:r>
      <w:bookmarkStart w:id="38" w:name="_Toc61600431"/>
      <w:bookmarkStart w:id="39" w:name="_Toc61600543"/>
      <w:bookmarkEnd w:id="36"/>
      <w:bookmarkEnd w:id="37"/>
      <w:r w:rsidR="0055501F">
        <w:t xml:space="preserve"> c</w:t>
      </w:r>
      <w:r>
        <w:t>ases. We therefore propose to have conical region spanning in ETC based on beam peak in NTC.</w:t>
      </w:r>
      <w:bookmarkEnd w:id="38"/>
      <w:bookmarkEnd w:id="39"/>
    </w:p>
    <w:p w14:paraId="7B4E3661" w14:textId="4FB1B4AB" w:rsidR="00900791" w:rsidRPr="00A21361" w:rsidRDefault="00900791" w:rsidP="00A21361">
      <w:pPr>
        <w:pStyle w:val="Proposal"/>
        <w:rPr>
          <w:lang w:val="en-US"/>
        </w:rPr>
      </w:pPr>
      <w:bookmarkStart w:id="40" w:name="_Toc61600435"/>
      <w:bookmarkStart w:id="41" w:name="_Toc61600547"/>
      <w:bookmarkStart w:id="42" w:name="_Toc61600578"/>
      <w:bookmarkStart w:id="43" w:name="_Toc61601632"/>
      <w:r w:rsidRPr="00B67FC6">
        <w:rPr>
          <w:lang w:val="en-US"/>
        </w:rPr>
        <w:t xml:space="preserve">Proposal </w:t>
      </w:r>
      <w:r>
        <w:rPr>
          <w:lang w:val="en-US"/>
        </w:rPr>
        <w:t>1:</w:t>
      </w:r>
      <w:r w:rsidRPr="00B67FC6">
        <w:rPr>
          <w:lang w:val="en-US"/>
        </w:rPr>
        <w:tab/>
      </w:r>
      <w:r w:rsidRPr="00900791">
        <w:rPr>
          <w:lang w:val="en-US"/>
        </w:rPr>
        <w:t>Perform a beam peak search refinement over conical region spanning +/- 12° around beam</w:t>
      </w:r>
      <w:r>
        <w:rPr>
          <w:lang w:val="en-US"/>
        </w:rPr>
        <w:t xml:space="preserve"> </w:t>
      </w:r>
      <w:r w:rsidRPr="00900791">
        <w:rPr>
          <w:lang w:val="en-US"/>
        </w:rPr>
        <w:t>peak direction which was found under NTC.</w:t>
      </w:r>
      <w:bookmarkEnd w:id="40"/>
      <w:bookmarkEnd w:id="41"/>
      <w:bookmarkEnd w:id="42"/>
      <w:bookmarkEnd w:id="43"/>
    </w:p>
    <w:p w14:paraId="7C0F5BD8" w14:textId="6F6CDC62" w:rsidR="003C701F" w:rsidRPr="00A21361" w:rsidRDefault="003C701F" w:rsidP="00A21361">
      <w:pPr>
        <w:rPr>
          <w:i/>
          <w:lang w:val="en-US"/>
        </w:rPr>
      </w:pPr>
      <w:bookmarkStart w:id="44" w:name="_Toc61600432"/>
      <w:bookmarkStart w:id="45" w:name="_Toc61600544"/>
      <w:r>
        <w:rPr>
          <w:lang w:val="en-US"/>
        </w:rPr>
        <w:t>In case that the chamber isn’t able to move positioner in conical region spanning +/- 12</w:t>
      </w:r>
      <w:r w:rsidRPr="00AE35A0">
        <w:rPr>
          <w:lang w:val="en-US"/>
        </w:rPr>
        <w:t>°</w:t>
      </w:r>
      <w:r>
        <w:rPr>
          <w:lang w:val="en-US"/>
        </w:rPr>
        <w:t xml:space="preserve"> inside an ETC</w:t>
      </w:r>
      <w:bookmarkStart w:id="46" w:name="_Toc61600433"/>
      <w:bookmarkStart w:id="47" w:name="_Toc61600545"/>
      <w:bookmarkEnd w:id="44"/>
      <w:bookmarkEnd w:id="45"/>
      <w:r w:rsidR="0055501F">
        <w:rPr>
          <w:i/>
          <w:lang w:val="en-US"/>
        </w:rPr>
        <w:t xml:space="preserve"> </w:t>
      </w:r>
      <w:r>
        <w:rPr>
          <w:lang w:val="en-US"/>
        </w:rPr>
        <w:t>Bubble, we propose to increase test tolerance by 0.9 dB to account for beam peak direction change under</w:t>
      </w:r>
      <w:bookmarkStart w:id="48" w:name="_Toc61600434"/>
      <w:bookmarkStart w:id="49" w:name="_Toc61600546"/>
      <w:bookmarkEnd w:id="46"/>
      <w:bookmarkEnd w:id="47"/>
      <w:r w:rsidR="0055501F">
        <w:rPr>
          <w:i/>
          <w:lang w:val="en-US"/>
        </w:rPr>
        <w:t xml:space="preserve"> </w:t>
      </w:r>
      <w:r>
        <w:rPr>
          <w:lang w:val="en-US"/>
        </w:rPr>
        <w:t>ETC</w:t>
      </w:r>
      <w:bookmarkEnd w:id="48"/>
      <w:bookmarkEnd w:id="49"/>
      <w:r w:rsidR="0055501F">
        <w:rPr>
          <w:lang w:val="en-US"/>
        </w:rPr>
        <w:t>.</w:t>
      </w:r>
    </w:p>
    <w:p w14:paraId="0A58AC36" w14:textId="79D4E45B" w:rsidR="00900791" w:rsidRPr="00900791" w:rsidRDefault="00900791" w:rsidP="00900791">
      <w:pPr>
        <w:pStyle w:val="Proposal"/>
        <w:rPr>
          <w:lang w:val="en-US"/>
        </w:rPr>
      </w:pPr>
      <w:bookmarkStart w:id="50" w:name="_Toc61600436"/>
      <w:bookmarkStart w:id="51" w:name="_Toc61600548"/>
      <w:bookmarkStart w:id="52" w:name="_Toc61600579"/>
      <w:bookmarkStart w:id="53" w:name="_Toc61601633"/>
      <w:r w:rsidRPr="00B67FC6">
        <w:rPr>
          <w:lang w:val="en-US"/>
        </w:rPr>
        <w:t xml:space="preserve">Proposal </w:t>
      </w:r>
      <w:r>
        <w:rPr>
          <w:lang w:val="en-US"/>
        </w:rPr>
        <w:t>2:</w:t>
      </w:r>
      <w:r w:rsidRPr="00B67FC6">
        <w:rPr>
          <w:lang w:val="en-US"/>
        </w:rPr>
        <w:tab/>
      </w:r>
      <w:r w:rsidRPr="00900791">
        <w:rPr>
          <w:lang w:val="en-US"/>
        </w:rPr>
        <w:t>In case that the chamber isn’t able to move positioner in conical region spanning +/- 12° inside a temperature control bubble, we propose to increase test tolerance for ETC by 0.9 dB for MOP and REFSENs test cases.</w:t>
      </w:r>
      <w:bookmarkEnd w:id="50"/>
      <w:bookmarkEnd w:id="51"/>
      <w:bookmarkEnd w:id="52"/>
      <w:bookmarkEnd w:id="53"/>
    </w:p>
    <w:p w14:paraId="538BF001" w14:textId="4C98C5D2" w:rsidR="00842B9F" w:rsidRDefault="00842B9F" w:rsidP="0090166D">
      <w:pPr>
        <w:rPr>
          <w:lang w:val="en-US"/>
        </w:rPr>
      </w:pPr>
      <w:r>
        <w:rPr>
          <w:lang w:val="en-US"/>
        </w:rPr>
        <w:t>Because the RAN4 core RF requirement for spherical coverage EIRP and EIS is defined based on NTC, RAN4 needs to consider not only measurement procedure enhancements, as captured in Proposals 1 and 2, but also to quantify the impact on measurement uncertainty and, consequently, on test tolerance.  By reflecting the ETC impact onto the spherical coverage test tolerance definition (we are assuming this tolerance would only be applied under ETC), the core requirement can remain the same.</w:t>
      </w:r>
    </w:p>
    <w:p w14:paraId="6FAE16D4" w14:textId="0A592CBA" w:rsidR="00842B9F" w:rsidRPr="00900791" w:rsidRDefault="00842B9F" w:rsidP="00842B9F">
      <w:pPr>
        <w:pStyle w:val="Proposal"/>
        <w:rPr>
          <w:lang w:val="en-US"/>
        </w:rPr>
      </w:pPr>
      <w:bookmarkStart w:id="54" w:name="_Toc61601634"/>
      <w:r w:rsidRPr="00B67FC6">
        <w:rPr>
          <w:lang w:val="en-US"/>
        </w:rPr>
        <w:t xml:space="preserve">Proposal </w:t>
      </w:r>
      <w:r>
        <w:rPr>
          <w:lang w:val="en-US"/>
        </w:rPr>
        <w:t>3:</w:t>
      </w:r>
      <w:r w:rsidRPr="00B67FC6">
        <w:rPr>
          <w:lang w:val="en-US"/>
        </w:rPr>
        <w:tab/>
      </w:r>
      <w:r>
        <w:rPr>
          <w:lang w:val="en-US"/>
        </w:rPr>
        <w:t>A simulation campaign is needed to quantify the impact of ETC on measurement uncertainty and test tolerance. RAN4 shall provide a recommendation to RAN5 based on the results.</w:t>
      </w:r>
      <w:bookmarkEnd w:id="54"/>
    </w:p>
    <w:p w14:paraId="34C99636" w14:textId="36CAE908" w:rsidR="008E7986" w:rsidRPr="00B67FC6" w:rsidRDefault="008E7986" w:rsidP="00CA261C">
      <w:pPr>
        <w:pStyle w:val="Heading1"/>
        <w:rPr>
          <w:lang w:val="en-US"/>
        </w:rPr>
      </w:pPr>
      <w:r w:rsidRPr="00B67FC6">
        <w:rPr>
          <w:lang w:val="en-US"/>
        </w:rPr>
        <w:t>3</w:t>
      </w:r>
      <w:r w:rsidRPr="00B67FC6">
        <w:rPr>
          <w:lang w:val="en-US"/>
        </w:rPr>
        <w:tab/>
        <w:t>Conclusions</w:t>
      </w:r>
    </w:p>
    <w:p w14:paraId="04CD4493" w14:textId="0054002C" w:rsidR="00C72B55" w:rsidRDefault="00C72B55" w:rsidP="00C72B55">
      <w:pPr>
        <w:rPr>
          <w:lang w:val="en-US"/>
        </w:rPr>
      </w:pPr>
      <w:r w:rsidRPr="00B67FC6">
        <w:rPr>
          <w:lang w:val="en-US"/>
        </w:rPr>
        <w:t xml:space="preserve">This contribution </w:t>
      </w:r>
      <w:r>
        <w:rPr>
          <w:lang w:val="en-US"/>
        </w:rPr>
        <w:t xml:space="preserve">provides our view </w:t>
      </w:r>
      <w:r w:rsidR="00211A3D">
        <w:rPr>
          <w:lang w:val="en-US"/>
        </w:rPr>
        <w:t xml:space="preserve">on </w:t>
      </w:r>
      <w:r w:rsidR="003C6466">
        <w:rPr>
          <w:lang w:val="en-US"/>
        </w:rPr>
        <w:t xml:space="preserve">the ETC objective of the study and shares </w:t>
      </w:r>
      <w:r w:rsidR="00253AF5">
        <w:rPr>
          <w:lang w:val="en-US"/>
        </w:rPr>
        <w:t>the following observation and proposals:</w:t>
      </w:r>
    </w:p>
    <w:p w14:paraId="2C94AAD7" w14:textId="77777777" w:rsidR="00842B9F" w:rsidRDefault="0055501F">
      <w:pPr>
        <w:pStyle w:val="TOC1"/>
        <w:rPr>
          <w:rFonts w:asciiTheme="minorHAnsi" w:eastAsiaTheme="minorEastAsia" w:hAnsiTheme="minorHAnsi" w:cstheme="minorBidi"/>
          <w:b w:val="0"/>
          <w:bCs w:val="0"/>
          <w:noProof/>
          <w:sz w:val="24"/>
          <w:szCs w:val="24"/>
          <w:lang w:val="en-US"/>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842B9F">
        <w:rPr>
          <w:noProof/>
        </w:rPr>
        <w:t>Observation 1:</w:t>
      </w:r>
      <w:r w:rsidR="00842B9F">
        <w:rPr>
          <w:rFonts w:asciiTheme="minorHAnsi" w:eastAsiaTheme="minorEastAsia" w:hAnsiTheme="minorHAnsi" w:cstheme="minorBidi"/>
          <w:b w:val="0"/>
          <w:bCs w:val="0"/>
          <w:noProof/>
          <w:sz w:val="24"/>
          <w:szCs w:val="24"/>
          <w:lang w:val="en-US"/>
        </w:rPr>
        <w:tab/>
      </w:r>
      <w:r w:rsidR="00842B9F">
        <w:rPr>
          <w:noProof/>
        </w:rPr>
        <w:t>The REFSENS requirement is derived under normal temperature condition (NTC) assumption and testing it in extreme temperature condition (ETC) will result in 0.5dB difference in noise floor.</w:t>
      </w:r>
    </w:p>
    <w:p w14:paraId="5E6AD059" w14:textId="77777777" w:rsidR="00842B9F" w:rsidRDefault="00842B9F">
      <w:pPr>
        <w:pStyle w:val="TOC1"/>
        <w:rPr>
          <w:rFonts w:asciiTheme="minorHAnsi" w:eastAsiaTheme="minorEastAsia" w:hAnsiTheme="minorHAnsi" w:cstheme="minorBidi"/>
          <w:b w:val="0"/>
          <w:bCs w:val="0"/>
          <w:noProof/>
          <w:sz w:val="24"/>
          <w:szCs w:val="24"/>
          <w:lang w:val="en-US"/>
        </w:rPr>
      </w:pPr>
      <w:r>
        <w:rPr>
          <w:noProof/>
        </w:rPr>
        <w:t>Observation 2:</w:t>
      </w:r>
      <w:r>
        <w:rPr>
          <w:rFonts w:asciiTheme="minorHAnsi" w:eastAsiaTheme="minorEastAsia" w:hAnsiTheme="minorHAnsi" w:cstheme="minorBidi"/>
          <w:b w:val="0"/>
          <w:bCs w:val="0"/>
          <w:noProof/>
          <w:sz w:val="24"/>
          <w:szCs w:val="24"/>
          <w:lang w:val="en-US"/>
        </w:rPr>
        <w:tab/>
      </w:r>
      <w:r>
        <w:rPr>
          <w:noProof/>
        </w:rPr>
        <w:t>In addition to impact on thermal noise floor which impacts magnitude error, TX/RX VGA gain control and phase shifter loss variation also impact magnitude error. It is expected to observe 0.1 dB under NTC and 1.0 dB under ETC.</w:t>
      </w:r>
    </w:p>
    <w:p w14:paraId="42C7C2CB" w14:textId="77777777" w:rsidR="00842B9F" w:rsidRDefault="00842B9F">
      <w:pPr>
        <w:pStyle w:val="TOC1"/>
        <w:rPr>
          <w:rFonts w:asciiTheme="minorHAnsi" w:eastAsiaTheme="minorEastAsia" w:hAnsiTheme="minorHAnsi" w:cstheme="minorBidi"/>
          <w:b w:val="0"/>
          <w:bCs w:val="0"/>
          <w:noProof/>
          <w:sz w:val="24"/>
          <w:szCs w:val="24"/>
          <w:lang w:val="en-US"/>
        </w:rPr>
      </w:pPr>
      <w:r>
        <w:rPr>
          <w:noProof/>
        </w:rPr>
        <w:t>Observation 3:</w:t>
      </w:r>
      <w:r>
        <w:rPr>
          <w:rFonts w:asciiTheme="minorHAnsi" w:eastAsiaTheme="minorEastAsia" w:hAnsiTheme="minorHAnsi" w:cstheme="minorBidi"/>
          <w:b w:val="0"/>
          <w:bCs w:val="0"/>
          <w:noProof/>
          <w:sz w:val="24"/>
          <w:szCs w:val="24"/>
          <w:lang w:val="en-US"/>
        </w:rPr>
        <w:tab/>
      </w:r>
      <w:r>
        <w:rPr>
          <w:noProof/>
        </w:rPr>
        <w:t>Phase error from TX/RX VGA phase variation which impacts beam forming is 1.5° under NTC and 2.0° under ETC.</w:t>
      </w:r>
    </w:p>
    <w:p w14:paraId="0488C522" w14:textId="77777777" w:rsidR="00842B9F" w:rsidRDefault="00842B9F">
      <w:pPr>
        <w:pStyle w:val="TOC1"/>
        <w:rPr>
          <w:rFonts w:asciiTheme="minorHAnsi" w:eastAsiaTheme="minorEastAsia" w:hAnsiTheme="minorHAnsi" w:cstheme="minorBidi"/>
          <w:b w:val="0"/>
          <w:bCs w:val="0"/>
          <w:noProof/>
          <w:sz w:val="24"/>
          <w:szCs w:val="24"/>
          <w:lang w:val="en-US"/>
        </w:rPr>
      </w:pPr>
      <w:r>
        <w:rPr>
          <w:noProof/>
        </w:rPr>
        <w:t>Observation 4:</w:t>
      </w:r>
      <w:r>
        <w:rPr>
          <w:rFonts w:asciiTheme="minorHAnsi" w:eastAsiaTheme="minorEastAsia" w:hAnsiTheme="minorHAnsi" w:cstheme="minorBidi"/>
          <w:b w:val="0"/>
          <w:bCs w:val="0"/>
          <w:noProof/>
          <w:sz w:val="24"/>
          <w:szCs w:val="24"/>
          <w:lang w:val="en-US"/>
        </w:rPr>
        <w:tab/>
      </w:r>
      <w:r>
        <w:rPr>
          <w:noProof/>
        </w:rPr>
        <w:t>RSRP measurement accuracy for RRM specification in FR2 is derived from TS 38.133 clauses 10.1.3 is 6 dB for NTC and 9 dB for ETC. The RRM requirement is defined as low SNR. The beam correspondence tolerance requirement is defined over the link angles “corresponding to the top 50% of the EIRP measurement over the whole sphere.” This, the BC requirement is defined as high SNR, so RSRP error is expected to be less than 6 dB for NTC and less than 9 dB for ETC.</w:t>
      </w:r>
    </w:p>
    <w:p w14:paraId="0DFF6599" w14:textId="77777777" w:rsidR="00842B9F" w:rsidRDefault="00842B9F">
      <w:pPr>
        <w:pStyle w:val="TOC1"/>
        <w:rPr>
          <w:rFonts w:asciiTheme="minorHAnsi" w:eastAsiaTheme="minorEastAsia" w:hAnsiTheme="minorHAnsi" w:cstheme="minorBidi"/>
          <w:b w:val="0"/>
          <w:bCs w:val="0"/>
          <w:noProof/>
          <w:sz w:val="24"/>
          <w:szCs w:val="24"/>
          <w:lang w:val="en-US"/>
        </w:rPr>
      </w:pPr>
      <w:r>
        <w:rPr>
          <w:noProof/>
        </w:rPr>
        <w:t>Observation 5:</w:t>
      </w:r>
      <w:r>
        <w:rPr>
          <w:rFonts w:asciiTheme="minorHAnsi" w:eastAsiaTheme="minorEastAsia" w:hAnsiTheme="minorHAnsi" w:cstheme="minorBidi"/>
          <w:b w:val="0"/>
          <w:bCs w:val="0"/>
          <w:noProof/>
          <w:sz w:val="24"/>
          <w:szCs w:val="24"/>
          <w:lang w:val="en-US"/>
        </w:rPr>
        <w:tab/>
      </w:r>
      <w:r>
        <w:rPr>
          <w:noProof/>
        </w:rPr>
        <w:t>Based on our initial simulations with all impairment models, maximum difference magnitude and angle in beam peak direction between ETC and NTC for worst case of 9 beam code books and 21 beam code books is 0.9 dB and 14°.</w:t>
      </w:r>
    </w:p>
    <w:p w14:paraId="19E9538F" w14:textId="77777777" w:rsidR="00842B9F" w:rsidRDefault="00842B9F">
      <w:pPr>
        <w:pStyle w:val="TOC1"/>
        <w:rPr>
          <w:rFonts w:asciiTheme="minorHAnsi" w:eastAsiaTheme="minorEastAsia" w:hAnsiTheme="minorHAnsi" w:cstheme="minorBidi"/>
          <w:b w:val="0"/>
          <w:bCs w:val="0"/>
          <w:noProof/>
          <w:sz w:val="24"/>
          <w:szCs w:val="24"/>
          <w:lang w:val="en-US"/>
        </w:rPr>
      </w:pPr>
      <w:r>
        <w:rPr>
          <w:noProof/>
        </w:rPr>
        <w:t>Observation 6:</w:t>
      </w:r>
      <w:r>
        <w:rPr>
          <w:rFonts w:asciiTheme="minorHAnsi" w:eastAsiaTheme="minorEastAsia" w:hAnsiTheme="minorHAnsi" w:cstheme="minorBidi"/>
          <w:b w:val="0"/>
          <w:bCs w:val="0"/>
          <w:noProof/>
          <w:sz w:val="24"/>
          <w:szCs w:val="24"/>
          <w:lang w:val="en-US"/>
        </w:rPr>
        <w:tab/>
      </w:r>
      <w:r>
        <w:rPr>
          <w:noProof/>
        </w:rPr>
        <w:t>With proposed procedure by locking beam peak in NTC, then apply ETC. RSRP error between ETC and NTC shall be negligible; however, the impact of magnitude error and phase error is expected. The maximum difference in beam peak direction between ETC and NTC with magnitude error and phase error for worst case of 9 beam code books and 21 beam code books is 0.7 dB and 12°.</w:t>
      </w:r>
    </w:p>
    <w:p w14:paraId="30E86421" w14:textId="753C7D02" w:rsidR="0055501F" w:rsidRPr="003E244D" w:rsidRDefault="0055501F" w:rsidP="0055501F">
      <w:r>
        <w:rPr>
          <w:rFonts w:asciiTheme="minorHAnsi" w:hAnsiTheme="minorHAnsi"/>
          <w:bCs/>
        </w:rPr>
        <w:fldChar w:fldCharType="end"/>
      </w:r>
    </w:p>
    <w:p w14:paraId="3B3DB7CF" w14:textId="77777777" w:rsidR="00842B9F" w:rsidRDefault="0055501F">
      <w:pPr>
        <w:pStyle w:val="TOC1"/>
        <w:rPr>
          <w:rFonts w:asciiTheme="minorHAnsi" w:eastAsiaTheme="minorEastAsia" w:hAnsiTheme="minorHAnsi" w:cstheme="minorBidi"/>
          <w:b w:val="0"/>
          <w:bCs w:val="0"/>
          <w:noProof/>
          <w:sz w:val="24"/>
          <w:szCs w:val="24"/>
          <w:lang w:val="en-US"/>
        </w:rPr>
      </w:pPr>
      <w:r w:rsidRPr="003E244D">
        <w:rPr>
          <w:b w:val="0"/>
          <w:bCs w:val="0"/>
        </w:rPr>
        <w:lastRenderedPageBreak/>
        <w:fldChar w:fldCharType="begin"/>
      </w:r>
      <w:r w:rsidRPr="003E244D">
        <w:rPr>
          <w:b w:val="0"/>
          <w:bCs w:val="0"/>
        </w:rPr>
        <w:instrText xml:space="preserve"> TOC \n \t "Proposal,1" </w:instrText>
      </w:r>
      <w:r w:rsidRPr="003E244D">
        <w:rPr>
          <w:b w:val="0"/>
          <w:bCs w:val="0"/>
        </w:rPr>
        <w:fldChar w:fldCharType="separate"/>
      </w:r>
      <w:r w:rsidR="00842B9F" w:rsidRPr="002A5DC4">
        <w:rPr>
          <w:noProof/>
          <w:lang w:val="en-US"/>
        </w:rPr>
        <w:t>Proposal 1:</w:t>
      </w:r>
      <w:r w:rsidR="00842B9F">
        <w:rPr>
          <w:rFonts w:asciiTheme="minorHAnsi" w:eastAsiaTheme="minorEastAsia" w:hAnsiTheme="minorHAnsi" w:cstheme="minorBidi"/>
          <w:b w:val="0"/>
          <w:bCs w:val="0"/>
          <w:noProof/>
          <w:sz w:val="24"/>
          <w:szCs w:val="24"/>
          <w:lang w:val="en-US"/>
        </w:rPr>
        <w:tab/>
      </w:r>
      <w:r w:rsidR="00842B9F" w:rsidRPr="002A5DC4">
        <w:rPr>
          <w:noProof/>
          <w:lang w:val="en-US"/>
        </w:rPr>
        <w:t>Perform a beam peak search refinement over conical region spanning +/- 12° around beam peak direction which was found under NTC.</w:t>
      </w:r>
    </w:p>
    <w:p w14:paraId="49C16175" w14:textId="77777777" w:rsidR="00842B9F" w:rsidRDefault="00842B9F">
      <w:pPr>
        <w:pStyle w:val="TOC1"/>
        <w:rPr>
          <w:rFonts w:asciiTheme="minorHAnsi" w:eastAsiaTheme="minorEastAsia" w:hAnsiTheme="minorHAnsi" w:cstheme="minorBidi"/>
          <w:b w:val="0"/>
          <w:bCs w:val="0"/>
          <w:noProof/>
          <w:sz w:val="24"/>
          <w:szCs w:val="24"/>
          <w:lang w:val="en-US"/>
        </w:rPr>
      </w:pPr>
      <w:r w:rsidRPr="002A5DC4">
        <w:rPr>
          <w:noProof/>
          <w:lang w:val="en-US"/>
        </w:rPr>
        <w:t>Proposal 2:</w:t>
      </w:r>
      <w:r>
        <w:rPr>
          <w:rFonts w:asciiTheme="minorHAnsi" w:eastAsiaTheme="minorEastAsia" w:hAnsiTheme="minorHAnsi" w:cstheme="minorBidi"/>
          <w:b w:val="0"/>
          <w:bCs w:val="0"/>
          <w:noProof/>
          <w:sz w:val="24"/>
          <w:szCs w:val="24"/>
          <w:lang w:val="en-US"/>
        </w:rPr>
        <w:tab/>
      </w:r>
      <w:r w:rsidRPr="002A5DC4">
        <w:rPr>
          <w:noProof/>
          <w:lang w:val="en-US"/>
        </w:rPr>
        <w:t>In case that the chamber isn’t able to move positioner in conical region spanning +/- 12° inside a temperature control bubble, we propose to increase test tolerance for ETC by 0.9 dB for MOP and REFSENs test cases.</w:t>
      </w:r>
    </w:p>
    <w:p w14:paraId="1AC49681" w14:textId="77777777" w:rsidR="00842B9F" w:rsidRDefault="00842B9F">
      <w:pPr>
        <w:pStyle w:val="TOC1"/>
        <w:rPr>
          <w:rFonts w:asciiTheme="minorHAnsi" w:eastAsiaTheme="minorEastAsia" w:hAnsiTheme="minorHAnsi" w:cstheme="minorBidi"/>
          <w:b w:val="0"/>
          <w:bCs w:val="0"/>
          <w:noProof/>
          <w:sz w:val="24"/>
          <w:szCs w:val="24"/>
          <w:lang w:val="en-US"/>
        </w:rPr>
      </w:pPr>
      <w:r w:rsidRPr="002A5DC4">
        <w:rPr>
          <w:noProof/>
          <w:lang w:val="en-US"/>
        </w:rPr>
        <w:t>Proposal 3:</w:t>
      </w:r>
      <w:r>
        <w:rPr>
          <w:rFonts w:asciiTheme="minorHAnsi" w:eastAsiaTheme="minorEastAsia" w:hAnsiTheme="minorHAnsi" w:cstheme="minorBidi"/>
          <w:b w:val="0"/>
          <w:bCs w:val="0"/>
          <w:noProof/>
          <w:sz w:val="24"/>
          <w:szCs w:val="24"/>
          <w:lang w:val="en-US"/>
        </w:rPr>
        <w:tab/>
      </w:r>
      <w:r w:rsidRPr="002A5DC4">
        <w:rPr>
          <w:noProof/>
          <w:lang w:val="en-US"/>
        </w:rPr>
        <w:t>A simulation campaign is needed to quantify the impact of ETC on measurement uncertainty and test tolerance. RAN4 shall provide a recommendation to RAN5 based on the results.</w:t>
      </w:r>
    </w:p>
    <w:p w14:paraId="5D2DDC34" w14:textId="0F6F4884" w:rsidR="005E69AE" w:rsidRPr="00B67FC6" w:rsidRDefault="0055501F" w:rsidP="0055501F">
      <w:pPr>
        <w:pStyle w:val="Heading1"/>
        <w:rPr>
          <w:lang w:val="en-US"/>
        </w:rPr>
      </w:pPr>
      <w:r w:rsidRPr="003E244D">
        <w:rPr>
          <w:b/>
          <w:bCs/>
        </w:rPr>
        <w:fldChar w:fldCharType="end"/>
      </w:r>
      <w:r w:rsidR="005E69AE" w:rsidRPr="00B67FC6">
        <w:rPr>
          <w:lang w:val="en-US"/>
        </w:rPr>
        <w:t>4</w:t>
      </w:r>
      <w:r w:rsidR="005E69AE" w:rsidRPr="00B67FC6">
        <w:rPr>
          <w:lang w:val="en-US"/>
        </w:rPr>
        <w:tab/>
        <w:t>References</w:t>
      </w:r>
    </w:p>
    <w:p w14:paraId="46D01189" w14:textId="1FC8C26F" w:rsidR="003C701F" w:rsidRDefault="003C701F" w:rsidP="00500E39">
      <w:pPr>
        <w:pStyle w:val="EX"/>
        <w:numPr>
          <w:ilvl w:val="0"/>
          <w:numId w:val="5"/>
        </w:numPr>
      </w:pPr>
      <w:bookmarkStart w:id="55" w:name="_Ref61600776"/>
      <w:bookmarkEnd w:id="0"/>
      <w:r w:rsidRPr="003C701F">
        <w:t>RP-201862</w:t>
      </w:r>
      <w:r>
        <w:t xml:space="preserve">, “Revised SID: </w:t>
      </w:r>
      <w:r w:rsidRPr="003C701F">
        <w:t>Study on enhanced test methods for FR2</w:t>
      </w:r>
      <w:r>
        <w:t>,” Apple Inc., vivo, 3GPP RAN #89, September 2020</w:t>
      </w:r>
      <w:bookmarkEnd w:id="55"/>
    </w:p>
    <w:p w14:paraId="73D7DCC2" w14:textId="43D47414" w:rsidR="003C701F" w:rsidRDefault="00B878B4" w:rsidP="00500E39">
      <w:pPr>
        <w:pStyle w:val="EX"/>
        <w:numPr>
          <w:ilvl w:val="0"/>
          <w:numId w:val="5"/>
        </w:numPr>
      </w:pPr>
      <w:bookmarkStart w:id="56" w:name="_Ref61600891"/>
      <w:r w:rsidRPr="00B878B4">
        <w:t>R4-2017596</w:t>
      </w:r>
      <w:r>
        <w:t>, “</w:t>
      </w:r>
      <w:r w:rsidRPr="00B878B4">
        <w:t>WF on extreme temperature conditions for all applicable FR2 UE RF test cases</w:t>
      </w:r>
      <w:r>
        <w:t>,” vivo, 3GPP RAN4 #97, November 2020</w:t>
      </w:r>
      <w:bookmarkEnd w:id="56"/>
    </w:p>
    <w:p w14:paraId="4875F383" w14:textId="03B6593F" w:rsidR="00B878B4" w:rsidRDefault="00B878B4" w:rsidP="00500E39">
      <w:pPr>
        <w:pStyle w:val="EX"/>
        <w:numPr>
          <w:ilvl w:val="0"/>
          <w:numId w:val="5"/>
        </w:numPr>
      </w:pPr>
      <w:r w:rsidRPr="00B878B4">
        <w:t>R5-196361</w:t>
      </w:r>
      <w:r>
        <w:t>, “</w:t>
      </w:r>
      <w:r w:rsidRPr="00B878B4">
        <w:t>AP#83.22 Maximum difference in direction between the beam peak at NTC when compared to ETC</w:t>
      </w:r>
      <w:r>
        <w:t>,” Apple Inc., 3GPP RAN5 #84, August 2019</w:t>
      </w:r>
    </w:p>
    <w:p w14:paraId="058A843B" w14:textId="1D06FF9F" w:rsidR="00A21361" w:rsidRDefault="00A21361" w:rsidP="00500E39">
      <w:pPr>
        <w:pStyle w:val="EX"/>
        <w:numPr>
          <w:ilvl w:val="0"/>
          <w:numId w:val="5"/>
        </w:numPr>
      </w:pPr>
      <w:bookmarkStart w:id="57" w:name="_Ref61600679"/>
      <w:r w:rsidRPr="00A21361">
        <w:t>R4-1812388, “Further Views On EIS Spherical Coverage for FR2 UEs”, Apple Inc, 3GPP RAN4 #88bis, October 2018</w:t>
      </w:r>
      <w:bookmarkEnd w:id="57"/>
    </w:p>
    <w:p w14:paraId="07791C6F" w14:textId="5B362256" w:rsidR="00EA0CE3" w:rsidRPr="00500E39" w:rsidRDefault="003C701F" w:rsidP="00500E39">
      <w:pPr>
        <w:pStyle w:val="EX"/>
        <w:numPr>
          <w:ilvl w:val="0"/>
          <w:numId w:val="5"/>
        </w:numPr>
      </w:pPr>
      <w:bookmarkStart w:id="58" w:name="_Ref61600691"/>
      <w:r w:rsidRPr="003C701F">
        <w:t>“A 28GHz 32-Element Phased-Array Transceiver IC with Concurrent Dual Polarized Beams and 1.4 Degree Beam-Steering Resolution for 5G Communication”, B. Sadhu, et al., ISSCC 2017</w:t>
      </w:r>
      <w:bookmarkEnd w:id="58"/>
    </w:p>
    <w:sectPr w:rsidR="00EA0CE3" w:rsidRPr="00500E39" w:rsidSect="00114E2C">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E60F5" w14:textId="77777777" w:rsidR="00385453" w:rsidRDefault="00385453">
      <w:r>
        <w:separator/>
      </w:r>
    </w:p>
  </w:endnote>
  <w:endnote w:type="continuationSeparator" w:id="0">
    <w:p w14:paraId="300F0EDE" w14:textId="77777777" w:rsidR="00385453" w:rsidRDefault="00385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DB5FE0" w:rsidRDefault="00DB5FE0">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DB5FE0" w:rsidRDefault="00DB5FE0"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90B63" w14:textId="77777777" w:rsidR="00385453" w:rsidRDefault="00385453">
      <w:r>
        <w:separator/>
      </w:r>
    </w:p>
  </w:footnote>
  <w:footnote w:type="continuationSeparator" w:id="0">
    <w:p w14:paraId="117AC97C" w14:textId="77777777" w:rsidR="00385453" w:rsidRDefault="00385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DB5FE0" w:rsidRDefault="00DB5F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DB5FE0" w:rsidRDefault="00DB5F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C527C2"/>
    <w:multiLevelType w:val="hybridMultilevel"/>
    <w:tmpl w:val="DD98A7DE"/>
    <w:lvl w:ilvl="0" w:tplc="91C257CE">
      <w:start w:val="1"/>
      <w:numFmt w:val="decimal"/>
      <w:lvlText w:val="%1)"/>
      <w:lvlJc w:val="left"/>
      <w:pPr>
        <w:ind w:left="2060" w:hanging="360"/>
      </w:pPr>
      <w:rPr>
        <w:rFonts w:hint="default"/>
      </w:rPr>
    </w:lvl>
    <w:lvl w:ilvl="1" w:tplc="04090019" w:tentative="1">
      <w:start w:val="1"/>
      <w:numFmt w:val="lowerLetter"/>
      <w:lvlText w:val="%2."/>
      <w:lvlJc w:val="left"/>
      <w:pPr>
        <w:ind w:left="2780" w:hanging="360"/>
      </w:pPr>
    </w:lvl>
    <w:lvl w:ilvl="2" w:tplc="0409001B" w:tentative="1">
      <w:start w:val="1"/>
      <w:numFmt w:val="lowerRoman"/>
      <w:lvlText w:val="%3."/>
      <w:lvlJc w:val="right"/>
      <w:pPr>
        <w:ind w:left="3500" w:hanging="180"/>
      </w:pPr>
    </w:lvl>
    <w:lvl w:ilvl="3" w:tplc="0409000F" w:tentative="1">
      <w:start w:val="1"/>
      <w:numFmt w:val="decimal"/>
      <w:lvlText w:val="%4."/>
      <w:lvlJc w:val="left"/>
      <w:pPr>
        <w:ind w:left="4220" w:hanging="360"/>
      </w:pPr>
    </w:lvl>
    <w:lvl w:ilvl="4" w:tplc="04090019" w:tentative="1">
      <w:start w:val="1"/>
      <w:numFmt w:val="lowerLetter"/>
      <w:lvlText w:val="%5."/>
      <w:lvlJc w:val="left"/>
      <w:pPr>
        <w:ind w:left="4940" w:hanging="360"/>
      </w:pPr>
    </w:lvl>
    <w:lvl w:ilvl="5" w:tplc="0409001B" w:tentative="1">
      <w:start w:val="1"/>
      <w:numFmt w:val="lowerRoman"/>
      <w:lvlText w:val="%6."/>
      <w:lvlJc w:val="right"/>
      <w:pPr>
        <w:ind w:left="5660" w:hanging="180"/>
      </w:pPr>
    </w:lvl>
    <w:lvl w:ilvl="6" w:tplc="0409000F" w:tentative="1">
      <w:start w:val="1"/>
      <w:numFmt w:val="decimal"/>
      <w:lvlText w:val="%7."/>
      <w:lvlJc w:val="left"/>
      <w:pPr>
        <w:ind w:left="6380" w:hanging="360"/>
      </w:pPr>
    </w:lvl>
    <w:lvl w:ilvl="7" w:tplc="04090019" w:tentative="1">
      <w:start w:val="1"/>
      <w:numFmt w:val="lowerLetter"/>
      <w:lvlText w:val="%8."/>
      <w:lvlJc w:val="left"/>
      <w:pPr>
        <w:ind w:left="7100" w:hanging="360"/>
      </w:pPr>
    </w:lvl>
    <w:lvl w:ilvl="8" w:tplc="0409001B" w:tentative="1">
      <w:start w:val="1"/>
      <w:numFmt w:val="lowerRoman"/>
      <w:lvlText w:val="%9."/>
      <w:lvlJc w:val="right"/>
      <w:pPr>
        <w:ind w:left="782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5"/>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E3"/>
    <w:rsid w:val="00002BE7"/>
    <w:rsid w:val="00010C08"/>
    <w:rsid w:val="000119F9"/>
    <w:rsid w:val="00033354"/>
    <w:rsid w:val="00033397"/>
    <w:rsid w:val="00040095"/>
    <w:rsid w:val="00051834"/>
    <w:rsid w:val="00054A22"/>
    <w:rsid w:val="00054B1B"/>
    <w:rsid w:val="00060CC9"/>
    <w:rsid w:val="00061C04"/>
    <w:rsid w:val="00062023"/>
    <w:rsid w:val="000655A6"/>
    <w:rsid w:val="000660CF"/>
    <w:rsid w:val="0007046D"/>
    <w:rsid w:val="00080512"/>
    <w:rsid w:val="00080743"/>
    <w:rsid w:val="000A0284"/>
    <w:rsid w:val="000A365D"/>
    <w:rsid w:val="000A68F3"/>
    <w:rsid w:val="000B4706"/>
    <w:rsid w:val="000C47C3"/>
    <w:rsid w:val="000C6F45"/>
    <w:rsid w:val="000C7D43"/>
    <w:rsid w:val="000D58AB"/>
    <w:rsid w:val="000D76CE"/>
    <w:rsid w:val="00103C69"/>
    <w:rsid w:val="00104BC6"/>
    <w:rsid w:val="001052AE"/>
    <w:rsid w:val="001129A3"/>
    <w:rsid w:val="001133A5"/>
    <w:rsid w:val="0011390E"/>
    <w:rsid w:val="00114E2C"/>
    <w:rsid w:val="0012301B"/>
    <w:rsid w:val="00133525"/>
    <w:rsid w:val="00141628"/>
    <w:rsid w:val="001445D7"/>
    <w:rsid w:val="0016035E"/>
    <w:rsid w:val="00166C80"/>
    <w:rsid w:val="00167B4B"/>
    <w:rsid w:val="00172077"/>
    <w:rsid w:val="00172B21"/>
    <w:rsid w:val="001744CA"/>
    <w:rsid w:val="00174D15"/>
    <w:rsid w:val="00183617"/>
    <w:rsid w:val="001A4C42"/>
    <w:rsid w:val="001A4C4A"/>
    <w:rsid w:val="001B4767"/>
    <w:rsid w:val="001C21C3"/>
    <w:rsid w:val="001D02C2"/>
    <w:rsid w:val="001E069F"/>
    <w:rsid w:val="001F0C1D"/>
    <w:rsid w:val="001F0F72"/>
    <w:rsid w:val="001F1132"/>
    <w:rsid w:val="001F168B"/>
    <w:rsid w:val="00201AAA"/>
    <w:rsid w:val="00211A3D"/>
    <w:rsid w:val="00211AA3"/>
    <w:rsid w:val="00217CA6"/>
    <w:rsid w:val="00221742"/>
    <w:rsid w:val="00221868"/>
    <w:rsid w:val="00223B85"/>
    <w:rsid w:val="00224672"/>
    <w:rsid w:val="00232817"/>
    <w:rsid w:val="00233F83"/>
    <w:rsid w:val="002347A2"/>
    <w:rsid w:val="00234C16"/>
    <w:rsid w:val="00240238"/>
    <w:rsid w:val="00245835"/>
    <w:rsid w:val="00247926"/>
    <w:rsid w:val="00247BBA"/>
    <w:rsid w:val="0025184C"/>
    <w:rsid w:val="002527DF"/>
    <w:rsid w:val="00253AF5"/>
    <w:rsid w:val="00255AE9"/>
    <w:rsid w:val="002675F0"/>
    <w:rsid w:val="002718A2"/>
    <w:rsid w:val="0027462C"/>
    <w:rsid w:val="00274694"/>
    <w:rsid w:val="00276EE4"/>
    <w:rsid w:val="002866FE"/>
    <w:rsid w:val="00290BFF"/>
    <w:rsid w:val="0029181A"/>
    <w:rsid w:val="00291DA9"/>
    <w:rsid w:val="002A6938"/>
    <w:rsid w:val="002B03B2"/>
    <w:rsid w:val="002B5669"/>
    <w:rsid w:val="002B6339"/>
    <w:rsid w:val="002C04C0"/>
    <w:rsid w:val="002C0B6A"/>
    <w:rsid w:val="002C3BA0"/>
    <w:rsid w:val="002E00EE"/>
    <w:rsid w:val="002E4E23"/>
    <w:rsid w:val="002E68C5"/>
    <w:rsid w:val="002F14F1"/>
    <w:rsid w:val="002F5B03"/>
    <w:rsid w:val="002F5BB3"/>
    <w:rsid w:val="002F6CA7"/>
    <w:rsid w:val="002F6EC7"/>
    <w:rsid w:val="00302208"/>
    <w:rsid w:val="003172DC"/>
    <w:rsid w:val="0032023A"/>
    <w:rsid w:val="0032725C"/>
    <w:rsid w:val="00330763"/>
    <w:rsid w:val="00337522"/>
    <w:rsid w:val="0034052F"/>
    <w:rsid w:val="00342A3F"/>
    <w:rsid w:val="00352736"/>
    <w:rsid w:val="0035462D"/>
    <w:rsid w:val="003549DF"/>
    <w:rsid w:val="00362052"/>
    <w:rsid w:val="00362E0C"/>
    <w:rsid w:val="003630C0"/>
    <w:rsid w:val="0036314F"/>
    <w:rsid w:val="00370AA8"/>
    <w:rsid w:val="00374F36"/>
    <w:rsid w:val="003765B8"/>
    <w:rsid w:val="003811A1"/>
    <w:rsid w:val="00385453"/>
    <w:rsid w:val="00391562"/>
    <w:rsid w:val="003945EB"/>
    <w:rsid w:val="00394C76"/>
    <w:rsid w:val="003A0483"/>
    <w:rsid w:val="003C09A2"/>
    <w:rsid w:val="003C3971"/>
    <w:rsid w:val="003C3BBC"/>
    <w:rsid w:val="003C47BE"/>
    <w:rsid w:val="003C6466"/>
    <w:rsid w:val="003C701F"/>
    <w:rsid w:val="003D458C"/>
    <w:rsid w:val="003D6AF1"/>
    <w:rsid w:val="003E62EA"/>
    <w:rsid w:val="003E7753"/>
    <w:rsid w:val="003F6907"/>
    <w:rsid w:val="00400DB6"/>
    <w:rsid w:val="004135C3"/>
    <w:rsid w:val="00417962"/>
    <w:rsid w:val="00421408"/>
    <w:rsid w:val="00423334"/>
    <w:rsid w:val="00423E6B"/>
    <w:rsid w:val="00427CD6"/>
    <w:rsid w:val="004345EC"/>
    <w:rsid w:val="00436666"/>
    <w:rsid w:val="00443A6A"/>
    <w:rsid w:val="0044404C"/>
    <w:rsid w:val="00447588"/>
    <w:rsid w:val="00447A0B"/>
    <w:rsid w:val="00452D32"/>
    <w:rsid w:val="0046419A"/>
    <w:rsid w:val="00464AA2"/>
    <w:rsid w:val="00465AB5"/>
    <w:rsid w:val="004814C2"/>
    <w:rsid w:val="004826A9"/>
    <w:rsid w:val="00485C10"/>
    <w:rsid w:val="004A08D4"/>
    <w:rsid w:val="004A75AB"/>
    <w:rsid w:val="004C0855"/>
    <w:rsid w:val="004C0A98"/>
    <w:rsid w:val="004C1601"/>
    <w:rsid w:val="004C38FF"/>
    <w:rsid w:val="004C4EE2"/>
    <w:rsid w:val="004C613F"/>
    <w:rsid w:val="004D3578"/>
    <w:rsid w:val="004E213A"/>
    <w:rsid w:val="004E25AE"/>
    <w:rsid w:val="004E3058"/>
    <w:rsid w:val="004F0988"/>
    <w:rsid w:val="004F3340"/>
    <w:rsid w:val="004F3E3D"/>
    <w:rsid w:val="004F5640"/>
    <w:rsid w:val="00500E39"/>
    <w:rsid w:val="005027A3"/>
    <w:rsid w:val="005052C8"/>
    <w:rsid w:val="00511D0B"/>
    <w:rsid w:val="005245BF"/>
    <w:rsid w:val="0053388B"/>
    <w:rsid w:val="00535773"/>
    <w:rsid w:val="00543C32"/>
    <w:rsid w:val="00543E6C"/>
    <w:rsid w:val="0055501F"/>
    <w:rsid w:val="005579A3"/>
    <w:rsid w:val="00565087"/>
    <w:rsid w:val="00572E14"/>
    <w:rsid w:val="005738D7"/>
    <w:rsid w:val="00575C74"/>
    <w:rsid w:val="00575F62"/>
    <w:rsid w:val="00582A3C"/>
    <w:rsid w:val="005931A1"/>
    <w:rsid w:val="0059483E"/>
    <w:rsid w:val="00594C1B"/>
    <w:rsid w:val="005967E4"/>
    <w:rsid w:val="005973BE"/>
    <w:rsid w:val="005A5986"/>
    <w:rsid w:val="005B0DF2"/>
    <w:rsid w:val="005C294C"/>
    <w:rsid w:val="005C78F4"/>
    <w:rsid w:val="005D2E01"/>
    <w:rsid w:val="005D7526"/>
    <w:rsid w:val="005E3482"/>
    <w:rsid w:val="005E4138"/>
    <w:rsid w:val="005E69AE"/>
    <w:rsid w:val="005F42E3"/>
    <w:rsid w:val="00602AEA"/>
    <w:rsid w:val="00607E3C"/>
    <w:rsid w:val="00614FDF"/>
    <w:rsid w:val="00616473"/>
    <w:rsid w:val="00616B6D"/>
    <w:rsid w:val="006204C3"/>
    <w:rsid w:val="006240F7"/>
    <w:rsid w:val="006246A7"/>
    <w:rsid w:val="0062595A"/>
    <w:rsid w:val="0063543D"/>
    <w:rsid w:val="00636675"/>
    <w:rsid w:val="00640B80"/>
    <w:rsid w:val="00641078"/>
    <w:rsid w:val="00643744"/>
    <w:rsid w:val="00647114"/>
    <w:rsid w:val="00650E26"/>
    <w:rsid w:val="00654196"/>
    <w:rsid w:val="00671488"/>
    <w:rsid w:val="0068172C"/>
    <w:rsid w:val="006856F6"/>
    <w:rsid w:val="006945F0"/>
    <w:rsid w:val="00696C30"/>
    <w:rsid w:val="006A323F"/>
    <w:rsid w:val="006A70E8"/>
    <w:rsid w:val="006A74F0"/>
    <w:rsid w:val="006B30D0"/>
    <w:rsid w:val="006B444A"/>
    <w:rsid w:val="006C3B9C"/>
    <w:rsid w:val="006C3D95"/>
    <w:rsid w:val="006D0763"/>
    <w:rsid w:val="006D2D7D"/>
    <w:rsid w:val="006E1DBE"/>
    <w:rsid w:val="006E5C86"/>
    <w:rsid w:val="006F5EE5"/>
    <w:rsid w:val="00703CAB"/>
    <w:rsid w:val="00712FC4"/>
    <w:rsid w:val="00713C44"/>
    <w:rsid w:val="007169C2"/>
    <w:rsid w:val="00717F7A"/>
    <w:rsid w:val="0072603E"/>
    <w:rsid w:val="00734A5B"/>
    <w:rsid w:val="00737CE7"/>
    <w:rsid w:val="0074026F"/>
    <w:rsid w:val="007429F6"/>
    <w:rsid w:val="00744E76"/>
    <w:rsid w:val="00745AFC"/>
    <w:rsid w:val="00747F8C"/>
    <w:rsid w:val="00752198"/>
    <w:rsid w:val="00753881"/>
    <w:rsid w:val="007576C6"/>
    <w:rsid w:val="00761680"/>
    <w:rsid w:val="0076797D"/>
    <w:rsid w:val="00774153"/>
    <w:rsid w:val="00774DA4"/>
    <w:rsid w:val="00777F7E"/>
    <w:rsid w:val="00781F0F"/>
    <w:rsid w:val="0078418F"/>
    <w:rsid w:val="0079560E"/>
    <w:rsid w:val="007A78C2"/>
    <w:rsid w:val="007B52AE"/>
    <w:rsid w:val="007B5F2D"/>
    <w:rsid w:val="007B600E"/>
    <w:rsid w:val="007B670C"/>
    <w:rsid w:val="007D48E9"/>
    <w:rsid w:val="007D4A21"/>
    <w:rsid w:val="007E1FDF"/>
    <w:rsid w:val="007E22B1"/>
    <w:rsid w:val="007E2512"/>
    <w:rsid w:val="007E3401"/>
    <w:rsid w:val="007E4B54"/>
    <w:rsid w:val="007E5413"/>
    <w:rsid w:val="007E7F92"/>
    <w:rsid w:val="007F0F4A"/>
    <w:rsid w:val="007F295E"/>
    <w:rsid w:val="007F3291"/>
    <w:rsid w:val="007F7255"/>
    <w:rsid w:val="008006DE"/>
    <w:rsid w:val="008028A4"/>
    <w:rsid w:val="00810D98"/>
    <w:rsid w:val="0081595C"/>
    <w:rsid w:val="00820B25"/>
    <w:rsid w:val="00830747"/>
    <w:rsid w:val="008316A6"/>
    <w:rsid w:val="00833B72"/>
    <w:rsid w:val="00842B9F"/>
    <w:rsid w:val="008436F3"/>
    <w:rsid w:val="00851EAD"/>
    <w:rsid w:val="008624E8"/>
    <w:rsid w:val="00864F5A"/>
    <w:rsid w:val="008653C7"/>
    <w:rsid w:val="00866F8F"/>
    <w:rsid w:val="00867D1B"/>
    <w:rsid w:val="008768CA"/>
    <w:rsid w:val="00876D37"/>
    <w:rsid w:val="00876E4D"/>
    <w:rsid w:val="008825FE"/>
    <w:rsid w:val="00884344"/>
    <w:rsid w:val="008C384C"/>
    <w:rsid w:val="008E7986"/>
    <w:rsid w:val="008F61EB"/>
    <w:rsid w:val="00900791"/>
    <w:rsid w:val="0090166D"/>
    <w:rsid w:val="0090271F"/>
    <w:rsid w:val="00902E23"/>
    <w:rsid w:val="009114D7"/>
    <w:rsid w:val="00912751"/>
    <w:rsid w:val="0091348E"/>
    <w:rsid w:val="009165E6"/>
    <w:rsid w:val="00917CCB"/>
    <w:rsid w:val="009259EC"/>
    <w:rsid w:val="00930A02"/>
    <w:rsid w:val="00942EC2"/>
    <w:rsid w:val="009535AD"/>
    <w:rsid w:val="00953D37"/>
    <w:rsid w:val="00954F90"/>
    <w:rsid w:val="00977951"/>
    <w:rsid w:val="00983EA5"/>
    <w:rsid w:val="009A59E2"/>
    <w:rsid w:val="009A6180"/>
    <w:rsid w:val="009B1628"/>
    <w:rsid w:val="009C0EB7"/>
    <w:rsid w:val="009C51EA"/>
    <w:rsid w:val="009F2421"/>
    <w:rsid w:val="009F37B7"/>
    <w:rsid w:val="009F5E43"/>
    <w:rsid w:val="00A07D41"/>
    <w:rsid w:val="00A10F02"/>
    <w:rsid w:val="00A1199C"/>
    <w:rsid w:val="00A13331"/>
    <w:rsid w:val="00A164B4"/>
    <w:rsid w:val="00A201FB"/>
    <w:rsid w:val="00A20351"/>
    <w:rsid w:val="00A21361"/>
    <w:rsid w:val="00A218EA"/>
    <w:rsid w:val="00A26956"/>
    <w:rsid w:val="00A32513"/>
    <w:rsid w:val="00A3252A"/>
    <w:rsid w:val="00A42A6E"/>
    <w:rsid w:val="00A51462"/>
    <w:rsid w:val="00A53724"/>
    <w:rsid w:val="00A61773"/>
    <w:rsid w:val="00A73129"/>
    <w:rsid w:val="00A81F5A"/>
    <w:rsid w:val="00A82346"/>
    <w:rsid w:val="00A92BA1"/>
    <w:rsid w:val="00A96AA8"/>
    <w:rsid w:val="00AA37A7"/>
    <w:rsid w:val="00AB37E2"/>
    <w:rsid w:val="00AC5544"/>
    <w:rsid w:val="00AC6BC6"/>
    <w:rsid w:val="00AC7371"/>
    <w:rsid w:val="00AC762E"/>
    <w:rsid w:val="00AC7DB5"/>
    <w:rsid w:val="00AD3D1D"/>
    <w:rsid w:val="00AE05F2"/>
    <w:rsid w:val="00AE0DCA"/>
    <w:rsid w:val="00AE3797"/>
    <w:rsid w:val="00AF3ADC"/>
    <w:rsid w:val="00AF4B6D"/>
    <w:rsid w:val="00AF65AC"/>
    <w:rsid w:val="00B009DB"/>
    <w:rsid w:val="00B02A63"/>
    <w:rsid w:val="00B04359"/>
    <w:rsid w:val="00B070F5"/>
    <w:rsid w:val="00B15449"/>
    <w:rsid w:val="00B21131"/>
    <w:rsid w:val="00B413BE"/>
    <w:rsid w:val="00B4737E"/>
    <w:rsid w:val="00B53321"/>
    <w:rsid w:val="00B65781"/>
    <w:rsid w:val="00B66028"/>
    <w:rsid w:val="00B67FC6"/>
    <w:rsid w:val="00B74411"/>
    <w:rsid w:val="00B878B4"/>
    <w:rsid w:val="00B93086"/>
    <w:rsid w:val="00B96F71"/>
    <w:rsid w:val="00B97B84"/>
    <w:rsid w:val="00BA19ED"/>
    <w:rsid w:val="00BA300B"/>
    <w:rsid w:val="00BA4B8D"/>
    <w:rsid w:val="00BB3962"/>
    <w:rsid w:val="00BC0F7D"/>
    <w:rsid w:val="00BC6E8D"/>
    <w:rsid w:val="00BC7FA1"/>
    <w:rsid w:val="00BD0602"/>
    <w:rsid w:val="00BD12E0"/>
    <w:rsid w:val="00BD548F"/>
    <w:rsid w:val="00BD5B79"/>
    <w:rsid w:val="00BE06B4"/>
    <w:rsid w:val="00BE0C45"/>
    <w:rsid w:val="00BE3255"/>
    <w:rsid w:val="00BE41F7"/>
    <w:rsid w:val="00BE58CA"/>
    <w:rsid w:val="00BE795D"/>
    <w:rsid w:val="00BF128E"/>
    <w:rsid w:val="00BF6A6D"/>
    <w:rsid w:val="00C0300E"/>
    <w:rsid w:val="00C1496A"/>
    <w:rsid w:val="00C2086E"/>
    <w:rsid w:val="00C2177C"/>
    <w:rsid w:val="00C2569A"/>
    <w:rsid w:val="00C33079"/>
    <w:rsid w:val="00C3391F"/>
    <w:rsid w:val="00C37672"/>
    <w:rsid w:val="00C45231"/>
    <w:rsid w:val="00C55311"/>
    <w:rsid w:val="00C72833"/>
    <w:rsid w:val="00C72B55"/>
    <w:rsid w:val="00C742F2"/>
    <w:rsid w:val="00C77EA5"/>
    <w:rsid w:val="00C80F1D"/>
    <w:rsid w:val="00C85200"/>
    <w:rsid w:val="00C93F40"/>
    <w:rsid w:val="00C95DDD"/>
    <w:rsid w:val="00C967AB"/>
    <w:rsid w:val="00CA261C"/>
    <w:rsid w:val="00CA3D0C"/>
    <w:rsid w:val="00CC4257"/>
    <w:rsid w:val="00CC54CB"/>
    <w:rsid w:val="00CC66D7"/>
    <w:rsid w:val="00CD06FF"/>
    <w:rsid w:val="00CD1936"/>
    <w:rsid w:val="00CD356D"/>
    <w:rsid w:val="00CD47D7"/>
    <w:rsid w:val="00CD5FA3"/>
    <w:rsid w:val="00CE2522"/>
    <w:rsid w:val="00CE313E"/>
    <w:rsid w:val="00CF20E3"/>
    <w:rsid w:val="00CF2416"/>
    <w:rsid w:val="00CF42E1"/>
    <w:rsid w:val="00D055C9"/>
    <w:rsid w:val="00D10612"/>
    <w:rsid w:val="00D20493"/>
    <w:rsid w:val="00D258C6"/>
    <w:rsid w:val="00D26519"/>
    <w:rsid w:val="00D309CC"/>
    <w:rsid w:val="00D32F03"/>
    <w:rsid w:val="00D3528C"/>
    <w:rsid w:val="00D41053"/>
    <w:rsid w:val="00D46431"/>
    <w:rsid w:val="00D4674C"/>
    <w:rsid w:val="00D56A52"/>
    <w:rsid w:val="00D57972"/>
    <w:rsid w:val="00D625A5"/>
    <w:rsid w:val="00D656A7"/>
    <w:rsid w:val="00D675A9"/>
    <w:rsid w:val="00D67E84"/>
    <w:rsid w:val="00D738D6"/>
    <w:rsid w:val="00D75169"/>
    <w:rsid w:val="00D75373"/>
    <w:rsid w:val="00D755EB"/>
    <w:rsid w:val="00D823BB"/>
    <w:rsid w:val="00D87C1E"/>
    <w:rsid w:val="00D87E00"/>
    <w:rsid w:val="00D9134D"/>
    <w:rsid w:val="00DA0FB7"/>
    <w:rsid w:val="00DA7A03"/>
    <w:rsid w:val="00DA7AB5"/>
    <w:rsid w:val="00DB1818"/>
    <w:rsid w:val="00DB3753"/>
    <w:rsid w:val="00DB5FE0"/>
    <w:rsid w:val="00DC309B"/>
    <w:rsid w:val="00DC4DA2"/>
    <w:rsid w:val="00DC5A8F"/>
    <w:rsid w:val="00DC6060"/>
    <w:rsid w:val="00DD4A8A"/>
    <w:rsid w:val="00DD4C17"/>
    <w:rsid w:val="00DD51EB"/>
    <w:rsid w:val="00DD66F1"/>
    <w:rsid w:val="00DF2B1F"/>
    <w:rsid w:val="00DF6189"/>
    <w:rsid w:val="00DF62CD"/>
    <w:rsid w:val="00E024C7"/>
    <w:rsid w:val="00E144A1"/>
    <w:rsid w:val="00E15741"/>
    <w:rsid w:val="00E16509"/>
    <w:rsid w:val="00E176D9"/>
    <w:rsid w:val="00E22C63"/>
    <w:rsid w:val="00E338FC"/>
    <w:rsid w:val="00E44582"/>
    <w:rsid w:val="00E46A0A"/>
    <w:rsid w:val="00E52814"/>
    <w:rsid w:val="00E60B57"/>
    <w:rsid w:val="00E72324"/>
    <w:rsid w:val="00E72ABE"/>
    <w:rsid w:val="00E77645"/>
    <w:rsid w:val="00E811DB"/>
    <w:rsid w:val="00E8519C"/>
    <w:rsid w:val="00E8554D"/>
    <w:rsid w:val="00E8608C"/>
    <w:rsid w:val="00E91111"/>
    <w:rsid w:val="00E95242"/>
    <w:rsid w:val="00E963AF"/>
    <w:rsid w:val="00EA0CE3"/>
    <w:rsid w:val="00EA68F9"/>
    <w:rsid w:val="00EB3AE6"/>
    <w:rsid w:val="00EC475D"/>
    <w:rsid w:val="00EC4A25"/>
    <w:rsid w:val="00ED57CE"/>
    <w:rsid w:val="00ED7067"/>
    <w:rsid w:val="00ED70BD"/>
    <w:rsid w:val="00EE005C"/>
    <w:rsid w:val="00EE5AA7"/>
    <w:rsid w:val="00EE696A"/>
    <w:rsid w:val="00EF0368"/>
    <w:rsid w:val="00EF084E"/>
    <w:rsid w:val="00F01939"/>
    <w:rsid w:val="00F025A2"/>
    <w:rsid w:val="00F04712"/>
    <w:rsid w:val="00F075AF"/>
    <w:rsid w:val="00F10BC8"/>
    <w:rsid w:val="00F157CB"/>
    <w:rsid w:val="00F21311"/>
    <w:rsid w:val="00F22EC7"/>
    <w:rsid w:val="00F23550"/>
    <w:rsid w:val="00F25F1E"/>
    <w:rsid w:val="00F27DAB"/>
    <w:rsid w:val="00F3058B"/>
    <w:rsid w:val="00F325C8"/>
    <w:rsid w:val="00F36FEB"/>
    <w:rsid w:val="00F37886"/>
    <w:rsid w:val="00F412EA"/>
    <w:rsid w:val="00F475BD"/>
    <w:rsid w:val="00F62AEB"/>
    <w:rsid w:val="00F653B8"/>
    <w:rsid w:val="00F703CE"/>
    <w:rsid w:val="00F70647"/>
    <w:rsid w:val="00F76B98"/>
    <w:rsid w:val="00F810F1"/>
    <w:rsid w:val="00FA1266"/>
    <w:rsid w:val="00FA47C1"/>
    <w:rsid w:val="00FB2EC6"/>
    <w:rsid w:val="00FC1192"/>
    <w:rsid w:val="00FC716B"/>
    <w:rsid w:val="00FD715E"/>
    <w:rsid w:val="00FF74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rsid w:val="00D32F03"/>
    <w:rPr>
      <w:rFonts w:ascii="Arial" w:hAnsi="Arial"/>
      <w:sz w:val="18"/>
      <w:lang w:eastAsia="en-US"/>
    </w:rPr>
  </w:style>
  <w:style w:type="paragraph" w:styleId="Caption">
    <w:name w:val="caption"/>
    <w:basedOn w:val="Normal"/>
    <w:next w:val="Normal"/>
    <w:unhideWhenUsed/>
    <w:qFormat/>
    <w:rsid w:val="00F075AF"/>
    <w:pPr>
      <w:spacing w:after="200"/>
    </w:pPr>
    <w:rPr>
      <w:i/>
      <w:iCs/>
      <w:color w:val="44546A" w:themeColor="text2"/>
      <w:sz w:val="18"/>
      <w:szCs w:val="18"/>
    </w:rPr>
  </w:style>
  <w:style w:type="character" w:styleId="PlaceholderText">
    <w:name w:val="Placeholder Text"/>
    <w:basedOn w:val="DefaultParagraphFont"/>
    <w:uiPriority w:val="99"/>
    <w:semiHidden/>
    <w:rsid w:val="00B4737E"/>
    <w:rPr>
      <w:color w:val="808080"/>
    </w:rPr>
  </w:style>
  <w:style w:type="paragraph" w:styleId="ListParagraph">
    <w:name w:val="List Paragraph"/>
    <w:basedOn w:val="Normal"/>
    <w:uiPriority w:val="34"/>
    <w:qFormat/>
    <w:rsid w:val="00A325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212231">
      <w:bodyDiv w:val="1"/>
      <w:marLeft w:val="0"/>
      <w:marRight w:val="0"/>
      <w:marTop w:val="0"/>
      <w:marBottom w:val="0"/>
      <w:divBdr>
        <w:top w:val="none" w:sz="0" w:space="0" w:color="auto"/>
        <w:left w:val="none" w:sz="0" w:space="0" w:color="auto"/>
        <w:bottom w:val="none" w:sz="0" w:space="0" w:color="auto"/>
        <w:right w:val="none" w:sz="0" w:space="0" w:color="auto"/>
      </w:divBdr>
    </w:div>
    <w:div w:id="207300600">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90965975">
      <w:bodyDiv w:val="1"/>
      <w:marLeft w:val="0"/>
      <w:marRight w:val="0"/>
      <w:marTop w:val="0"/>
      <w:marBottom w:val="0"/>
      <w:divBdr>
        <w:top w:val="none" w:sz="0" w:space="0" w:color="auto"/>
        <w:left w:val="none" w:sz="0" w:space="0" w:color="auto"/>
        <w:bottom w:val="none" w:sz="0" w:space="0" w:color="auto"/>
        <w:right w:val="none" w:sz="0" w:space="0" w:color="auto"/>
      </w:divBdr>
    </w:div>
    <w:div w:id="601955946">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875655596">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0995A-5201-F042-BE56-71230F8F0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140</TotalTime>
  <Pages>5</Pages>
  <Words>1607</Words>
  <Characters>9162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10748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66</cp:revision>
  <cp:lastPrinted>2019-02-25T14:05:00Z</cp:lastPrinted>
  <dcterms:created xsi:type="dcterms:W3CDTF">2020-10-22T12:26:00Z</dcterms:created>
  <dcterms:modified xsi:type="dcterms:W3CDTF">2021-01-15T19:49:00Z</dcterms:modified>
  <cp:category/>
</cp:coreProperties>
</file>